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rPr/>
      </w:pPr>
      <w:r>
        <w:rPr/>
        <w:t>Лот №1</w:t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/>
        <w:t>Пасивне обладнання</w:t>
      </w:r>
    </w:p>
    <w:tbl>
      <w:tblPr>
        <w:tblW w:w="10492" w:type="dxa"/>
        <w:jc w:val="start"/>
        <w:tblInd w:w="-45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20"/>
        <w:gridCol w:w="7746"/>
        <w:gridCol w:w="853"/>
        <w:gridCol w:w="1272"/>
      </w:tblGrid>
      <w:tr>
        <w:trPr>
          <w:trHeight w:val="315" w:hRule="atLeast"/>
        </w:trPr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774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Шафа серверна підлогова 42U 800x800 Rackmount (42U800x800GR)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 xml:space="preserve">Серверна шафа 6U,сіра  600х500х370 двері скло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13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Оптична патч-панель 2U-48 19" SC-48 в зборі (з пігтейлами, термоусадками, лицевими панелями та адаптерами SC)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4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Оптична патч-панель 1U-24 19" SC-24 в зборі (з пігтейлами, термоусадками, лицевими панелями та адаптерами SC)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Патч-корд оптичний SC/UPC - LC/UPC Simplex(Singlemode)  1м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val="en-US"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60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Патч-корд оптичний SC/UPC - LC/UPC Simplex(Singlemode)  3м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Патч-корд оптичний SC/UPC - SC/UPC Simplex(Singlemode)  1м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7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8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Патч-корд оптичний SC/UPC - SC/UPC Simplex(Singlemode)  3м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30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9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Комплект кріплення ( гвинт +гайка+шайба ) 4шт WT-2055B-M6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компл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2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10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Кабельний організатор 1U, 19", металевий, перфорований, чорний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11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Блок розеток 19" 1U 8 розеток з вимикачем, кабель1.8м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12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Ковпачок RJ-45 сірий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500</w:t>
            </w:r>
          </w:p>
        </w:tc>
      </w:tr>
      <w:tr>
        <w:trPr>
          <w:trHeight w:val="353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13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Конектор RJ45 FTP 5е кат. 50 екранований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500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14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/>
              <w:t xml:space="preserve">Комунікаційна стійка CMS 42U дворамна (без ніжок) (UA-OF42-D-BK)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15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/>
              <w:t xml:space="preserve">Патч панель 1U 24 порти кат. 5Е 19" з менеджментом кабелю ззаду, UTP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16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/>
              <w:t xml:space="preserve">Ніжки для шаф і стійок, довжина 45 мм (J1-UA-GR)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17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/>
              <w:t>Двостороння стяжка-липучка, 10мм x 5м, моток, чорна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18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/>
              <w:t xml:space="preserve">Кабельний організатор 1U, 19", металевий, перфорований, чорний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19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rPr>
                <w:sz w:val="28"/>
                <w:szCs w:val="28"/>
              </w:rPr>
            </w:pPr>
            <w:r>
              <w:rPr/>
              <w:t xml:space="preserve">Патчкорд вита пара </w:t>
            </w:r>
            <w:r>
              <w:rPr>
                <w:lang w:val="en-US"/>
              </w:rPr>
              <w:t>UTP</w:t>
            </w:r>
            <w:r>
              <w:rPr/>
              <w:t xml:space="preserve"> 5</w:t>
            </w:r>
            <w:r>
              <w:rPr>
                <w:lang w:val="en-US"/>
              </w:rPr>
              <w:t>e</w:t>
            </w:r>
            <w:r>
              <w:rPr/>
              <w:t xml:space="preserve">- 30 см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20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/>
              <w:t xml:space="preserve">Патчкорд вита пара </w:t>
            </w:r>
            <w:r>
              <w:rPr>
                <w:lang w:val="en-US"/>
              </w:rPr>
              <w:t>UTP</w:t>
            </w:r>
            <w:r>
              <w:rPr/>
              <w:t xml:space="preserve"> 5</w:t>
            </w:r>
            <w:r>
              <w:rPr>
                <w:lang w:val="en-US"/>
              </w:rPr>
              <w:t>e</w:t>
            </w:r>
            <w:r>
              <w:rPr/>
              <w:t>- 50 см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21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/>
              <w:t xml:space="preserve">Патчкорд вита пара </w:t>
            </w:r>
            <w:r>
              <w:rPr>
                <w:lang w:val="en-US"/>
              </w:rPr>
              <w:t>UTP</w:t>
            </w:r>
            <w:r>
              <w:rPr/>
              <w:t xml:space="preserve"> 5</w:t>
            </w:r>
            <w:r>
              <w:rPr>
                <w:lang w:val="en-US"/>
              </w:rPr>
              <w:t>e</w:t>
            </w:r>
            <w:r>
              <w:rPr/>
              <w:t>- 1 м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100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22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>
                <w:sz w:val="28"/>
                <w:szCs w:val="28"/>
              </w:rPr>
            </w:pPr>
            <w:r>
              <w:rPr/>
              <w:t xml:space="preserve">Патчкорд вита пара </w:t>
            </w:r>
            <w:r>
              <w:rPr>
                <w:lang w:val="en-US"/>
              </w:rPr>
              <w:t>UTP</w:t>
            </w:r>
            <w:r>
              <w:rPr/>
              <w:t xml:space="preserve"> 5</w:t>
            </w:r>
            <w:r>
              <w:rPr>
                <w:lang w:val="en-US"/>
              </w:rPr>
              <w:t>e</w:t>
            </w:r>
            <w:r>
              <w:rPr/>
              <w:t>- 3 м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100</w:t>
            </w:r>
          </w:p>
        </w:tc>
      </w:tr>
    </w:tbl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/>
        <w:tab/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/>
        <w:t>Лот №2</w:t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/>
        <w:t>Активне обладнання</w:t>
      </w:r>
    </w:p>
    <w:tbl>
      <w:tblPr>
        <w:tblW w:w="10492" w:type="dxa"/>
        <w:jc w:val="start"/>
        <w:tblInd w:w="-45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20"/>
        <w:gridCol w:w="7746"/>
        <w:gridCol w:w="853"/>
        <w:gridCol w:w="1272"/>
      </w:tblGrid>
      <w:tr>
        <w:trPr>
          <w:trHeight w:val="315" w:hRule="atLeast"/>
        </w:trPr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774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Модуль FoxGate 10G SFP+  (SFP+d-1SM-1330nm-10LC)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</w:r>
          </w:p>
        </w:tc>
        <w:tc>
          <w:tcPr>
            <w:tcW w:w="774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Модуль FoxGate 10G SFP+  (SFP+d-1SM-1270nm-10LC)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 xml:space="preserve">Модуль SFP SFPd-1SM-1310nm-3LC FoxGate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 xml:space="preserve">Модуль SFP SFPd-1SM-1550nm-3LC FoxGate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40</w:t>
            </w:r>
          </w:p>
        </w:tc>
      </w:tr>
      <w:tr>
        <w:trPr>
          <w:trHeight w:val="543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4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Маршрутизатор Fortinet Fortigate 90G із включеною ліцензією на 1 рік FG-90G-BDL-950-12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center"/>
              <w:rPr/>
            </w:pPr>
            <w:r>
              <w:rPr/>
              <w:t>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Маршрутизатор </w:t>
            </w:r>
            <w:r>
              <w:rPr>
                <w:lang w:val="en-US"/>
              </w:rPr>
              <w:t>Mikrotik</w:t>
            </w:r>
            <w:r>
              <w:rPr/>
              <w:t xml:space="preserve"> </w:t>
            </w:r>
            <w:r>
              <w:rPr>
                <w:lang w:val="en-US"/>
              </w:rPr>
              <w:t>CCR</w:t>
            </w:r>
            <w:r>
              <w:rPr/>
              <w:t>2116-12</w:t>
            </w:r>
            <w:r>
              <w:rPr>
                <w:lang w:val="en-US"/>
              </w:rPr>
              <w:t>G</w:t>
            </w:r>
            <w:r>
              <w:rPr/>
              <w:t>-4</w:t>
            </w:r>
            <w:r>
              <w:rPr>
                <w:lang w:val="en-US"/>
              </w:rPr>
              <w:t>S</w:t>
            </w:r>
            <w:r>
              <w:rPr/>
              <w:t>+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Комутатор </w:t>
            </w:r>
            <w:r>
              <w:rPr>
                <w:lang w:val="en-US"/>
              </w:rPr>
              <w:t>Mikrotik CRS326-24S+2Q+RM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 xml:space="preserve">Комутатор MikroTik CRS328-24P-4S+RM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8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Комутатор </w:t>
            </w:r>
            <w:r>
              <w:rPr>
                <w:lang w:val="en-US"/>
              </w:rPr>
              <w:t>Mikrotik CRS328-4C-20S-4S+RM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9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Комутатор </w:t>
            </w:r>
            <w:r>
              <w:rPr>
                <w:lang w:val="en-US"/>
              </w:rPr>
              <w:t>Mikrotik CRS326-24G-2S+RM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1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3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10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Патчкорд </w:t>
            </w:r>
            <w:r>
              <w:rPr>
                <w:lang w:val="en-US"/>
              </w:rPr>
              <w:t>Mikrotik S+AO0005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40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11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Патчкорд </w:t>
            </w:r>
            <w:r>
              <w:rPr>
                <w:lang w:val="en-US"/>
              </w:rPr>
              <w:t>Mikrotik XQ+DA0003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12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spacing w:lineRule="auto" w:line="360"/>
              <w:jc w:val="both"/>
              <w:rPr/>
            </w:pPr>
            <w:r>
              <w:rPr/>
              <w:t xml:space="preserve">Точки доступу </w:t>
            </w:r>
            <w:r>
              <w:rPr>
                <w:lang w:val="en-US"/>
              </w:rPr>
              <w:t>Mikrotik</w:t>
            </w:r>
            <w:r>
              <w:rPr/>
              <w:t xml:space="preserve"> </w:t>
            </w:r>
            <w:r>
              <w:rPr>
                <w:lang w:val="en-US"/>
              </w:rPr>
              <w:t>cAP</w:t>
            </w:r>
            <w:r>
              <w:rPr/>
              <w:t xml:space="preserve"> </w:t>
            </w:r>
            <w:r>
              <w:rPr>
                <w:lang w:val="en-US"/>
              </w:rPr>
              <w:t>ax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/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10</w:t>
            </w:r>
          </w:p>
        </w:tc>
      </w:tr>
    </w:tbl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/>
        <w:t>Лот №3</w:t>
      </w:r>
    </w:p>
    <w:tbl>
      <w:tblPr>
        <w:tblW w:w="10492" w:type="dxa"/>
        <w:jc w:val="start"/>
        <w:tblInd w:w="-459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620"/>
        <w:gridCol w:w="7746"/>
        <w:gridCol w:w="853"/>
        <w:gridCol w:w="1272"/>
      </w:tblGrid>
      <w:tr>
        <w:trPr>
          <w:trHeight w:val="315" w:hRule="atLeast"/>
        </w:trPr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</w:t>
            </w:r>
          </w:p>
        </w:tc>
        <w:tc>
          <w:tcPr>
            <w:tcW w:w="774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IP камера HikvisionDS-2CD2183G2-LIS2U  8МП (2.8мм)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6</w:t>
            </w:r>
          </w:p>
        </w:tc>
      </w:tr>
      <w:tr>
        <w:trPr>
          <w:trHeight w:val="300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IP PTZ камера  DS-2SE4C425MWG-E/26 F0 4МП (2.8+4.8-120мм) TandemVu (кут огляду 180°+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val="en-US" w:eastAsia="uk-UA"/>
              </w:rPr>
              <w:t>PTZ</w:t>
            </w: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 xml:space="preserve"> 4.8-120мм)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3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IP камера Hikvision DS-2CD3T87G2P-LSU/SL (C) 8МП (4мм)  (кут огляду 180°)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8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4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IP відеокамера Hikvision DS-2CD2T83G2-4LI 8МП (4мм)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14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5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bottom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IP відеокамера Hikvision DS-2CD2T83G2-4LI 8МП (2.8мм)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15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6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IP камера Hikvision DS-2CD2686G2HT-IZS (eF) 8МП (2.8-12мм)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20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7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Відеореєстратор Hikvision iDS-7732NXI-M4/X 32-кан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8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Відеореєстратор Hikvision DS-7764NI-M4 64-кан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9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 xml:space="preserve">Комутаційна коробка Hikvision DS-1280ZJ-DM46 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6</w:t>
            </w:r>
          </w:p>
        </w:tc>
      </w:tr>
      <w:tr>
        <w:trPr>
          <w:trHeight w:val="315" w:hRule="atLeast"/>
        </w:trPr>
        <w:tc>
          <w:tcPr>
            <w:tcW w:w="62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10</w:t>
            </w:r>
          </w:p>
        </w:tc>
        <w:tc>
          <w:tcPr>
            <w:tcW w:w="7746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Комутаційна коробка Hikvision DS-1260ZJ</w:t>
            </w:r>
          </w:p>
        </w:tc>
        <w:tc>
          <w:tcPr>
            <w:tcW w:w="853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49</w:t>
            </w:r>
          </w:p>
        </w:tc>
      </w:tr>
      <w:tr>
        <w:trPr>
          <w:trHeight w:val="630" w:hRule="atLeast"/>
        </w:trPr>
        <w:tc>
          <w:tcPr>
            <w:tcW w:w="62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11</w:t>
            </w:r>
          </w:p>
        </w:tc>
        <w:tc>
          <w:tcPr>
            <w:tcW w:w="7746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Жорсткий диск Seagate SkyHawk Al HDD 16TB 7200rpm 512MB 3.5" SATAIII (ST16000VE004)</w:t>
            </w:r>
          </w:p>
        </w:tc>
        <w:tc>
          <w:tcPr>
            <w:tcW w:w="853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шт</w:t>
            </w:r>
          </w:p>
        </w:tc>
        <w:tc>
          <w:tcPr>
            <w:tcW w:w="1272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jc w:val="center"/>
              <w:rPr>
                <w:rFonts w:ascii="Times New Roman" w:hAnsi="Times New Roman" w:eastAsia="Times New Roman" w:cs="Times New Roman"/>
                <w:color w:val="000000"/>
                <w:kern w:val="0"/>
                <w:lang w:eastAsia="uk-UA"/>
              </w:rPr>
            </w:pPr>
            <w:r>
              <w:rPr>
                <w:rFonts w:eastAsia="Times New Roman" w:cs="Times New Roman" w:ascii="Times New Roman" w:hAnsi="Times New Roman"/>
                <w:color w:val="000000"/>
                <w:kern w:val="0"/>
                <w:lang w:eastAsia="uk-UA"/>
              </w:rPr>
              <w:t>8</w:t>
            </w:r>
          </w:p>
        </w:tc>
      </w:tr>
    </w:tbl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  <w:t>Лот №4</w:t>
      </w:r>
    </w:p>
    <w:tbl>
      <w:tblPr>
        <w:tblW w:w="12540" w:type="dxa"/>
        <w:jc w:val="start"/>
        <w:tblInd w:w="11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3513"/>
        <w:gridCol w:w="8124"/>
        <w:gridCol w:w="903"/>
      </w:tblGrid>
      <w:tr>
        <w:trPr>
          <w:trHeight w:val="30" w:hRule="atLeast"/>
        </w:trPr>
        <w:tc>
          <w:tcPr>
            <w:tcW w:w="3513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</w:rPr>
              <w:t>Base</w:t>
            </w:r>
          </w:p>
        </w:tc>
        <w:tc>
          <w:tcPr>
            <w:tcW w:w="8124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</w:rPr>
              <w:t>PowerEdge R760 Server</w:t>
            </w:r>
          </w:p>
        </w:tc>
        <w:tc>
          <w:tcPr>
            <w:tcW w:w="903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b/>
                <w:b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Chassis Configuration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2.5" Chassis with up to 16 NVMe HWRAID Drives, Smart Flow, Dual Controller, Front PERC 11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Trusted Platform Module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Trusted Platform Module 2.0 V5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Processor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Intel Xeon Gold 6548Y+ 2.5G, 32C/64T, 20GT/s, 60M Cache, Turbo, HT (250W) DDR5-5200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Additional Processor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Intel Xeon Gold 6548Y+ 2.5G, 32C/64T, 20GT/s, 60M Cache, Turbo, HT (250W) DDR5-5200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Memory Capacity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64GB RDIMM, 5600MT/s, Dual Rank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RAID/Internal Storage Controllers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PERC H755N Front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Hard Drives (PCIe SSD/Flex Bay)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1.92TB Enterprise NVMe Read Intensive AG Drive U.2 Gen4 with carrier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8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Embedded Systems Management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iDRAC9, Enterprise 16G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Power Supply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Dual, Hot-Plug, Power Supply, 1100W MM (100-240Vac) Titanium, Redundant (1+1)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Power Cords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C13 to C14, PDU Style, 10 AMP, 6.5 Feet (2m), Power Cord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2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OCP 3.0 Network Adapters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Broadcom 57414 Dual Port 10/25GbE SFP28, OCP NIC 3.0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Additional Network Cards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Broadcom 5720 Dual Port 1GbE LOM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Operating System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No Operating System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Dell Services:Extended Service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ProSupport and Next Business Day Onsite Service Extension, 36 Month(s)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  <w:tr>
        <w:trPr>
          <w:trHeight w:val="30" w:hRule="atLeast"/>
        </w:trPr>
        <w:tc>
          <w:tcPr>
            <w:tcW w:w="3513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Anti Theft Device &amp; Asset Tagging</w:t>
            </w:r>
          </w:p>
        </w:tc>
        <w:tc>
          <w:tcPr>
            <w:tcW w:w="8124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Asset Tag - ProSupport (Website, barcode, Onboard MacAddress)</w:t>
            </w:r>
          </w:p>
        </w:tc>
        <w:tc>
          <w:tcPr>
            <w:tcW w:w="903" w:type="dxa"/>
            <w:tcBorders>
              <w:bottom w:val="single" w:sz="8" w:space="0" w:color="000000"/>
              <w:end w:val="single" w:sz="8" w:space="0" w:color="000000"/>
            </w:tcBorders>
            <w:tcMar>
              <w:start w:w="0" w:type="dxa"/>
            </w:tcMar>
            <w:vAlign w:val="bottom"/>
          </w:tcPr>
          <w:p>
            <w:pPr>
              <w:pStyle w:val="Normal"/>
              <w:rPr/>
            </w:pPr>
            <w:r>
              <w:rPr>
                <w:i/>
                <w:iCs/>
              </w:rPr>
              <w:t>1</w:t>
            </w:r>
          </w:p>
        </w:tc>
      </w:tr>
    </w:tbl>
    <w:p>
      <w:pPr>
        <w:pStyle w:val="Normal"/>
        <w:rPr>
          <w:lang w:val="en-US"/>
        </w:rPr>
      </w:pPr>
      <w:r>
        <w:rPr>
          <w:lang w:val="en-US"/>
        </w:rPr>
      </w:r>
    </w:p>
    <w:p>
      <w:pPr>
        <w:pStyle w:val="Normal"/>
        <w:rPr/>
      </w:pPr>
      <w:r>
        <w:rPr/>
        <w:t>Сервер №1</w:t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Сервер №2</w:t>
      </w:r>
    </w:p>
    <w:p>
      <w:pPr>
        <w:pStyle w:val="Normal"/>
        <w:rPr/>
      </w:pPr>
      <w:r>
        <w:rPr/>
      </w:r>
    </w:p>
    <w:tbl>
      <w:tblPr>
        <w:tblW w:w="10960" w:type="dxa"/>
        <w:jc w:val="start"/>
        <w:tblInd w:w="5" w:type="dxa"/>
        <w:tblLayout w:type="fixed"/>
        <w:tblCellMar>
          <w:top w:w="0" w:type="dxa"/>
          <w:start w:w="108" w:type="dxa"/>
          <w:bottom w:w="0" w:type="dxa"/>
          <w:end w:w="108" w:type="dxa"/>
        </w:tblCellMar>
      </w:tblPr>
      <w:tblGrid>
        <w:gridCol w:w="2880"/>
        <w:gridCol w:w="7100"/>
        <w:gridCol w:w="980"/>
      </w:tblGrid>
      <w:tr>
        <w:trPr>
          <w:trHeight w:val="260" w:hRule="atLeast"/>
        </w:trPr>
        <w:tc>
          <w:tcPr>
            <w:tcW w:w="2880" w:type="dxa"/>
            <w:tcBorders>
              <w:top w:val="single" w:sz="4" w:space="0" w:color="000000"/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Base</w:t>
            </w:r>
          </w:p>
        </w:tc>
        <w:tc>
          <w:tcPr>
            <w:tcW w:w="710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rFonts w:cs="Calibri" w:ascii="Calibri" w:hAnsi="Calibri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PowerEdge R760 Server</w:t>
            </w:r>
          </w:p>
        </w:tc>
        <w:tc>
          <w:tcPr>
            <w:tcW w:w="980" w:type="dxa"/>
            <w:tcBorders>
              <w:top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b/>
                <w:bCs/>
                <w:color w:val="000000"/>
                <w:kern w:val="0"/>
                <w:sz w:val="20"/>
                <w:szCs w:val="20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Chassis Configuration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3.5" Chassis with up to 8 Hard Drives (SAS/SATA)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tabs>
                <w:tab w:val="clear" w:pos="709"/>
              </w:tabs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Trusted Platform Module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Trusted Platform Module 2.0 V5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Processor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Intel Xeon Silver 4509Y 2.6G, 8C/16T, 16GT/s, 22.5M Cache, Turbo, HT (125W) DDR5-4400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Memory Capacity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32GB RDIMM, 5600MT/s, Dual Rank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RAID Controller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PERC H755 SAS Front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Hard Drives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480GB SSD SATA Read Intensive 6Gbps 512e 2.5in Hot-plug AG Drive,3.5in HYB CARR, 1 DWPD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Hard Drives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12TB Hard Drive SAS ISE 12Gbps 7.2K 512e 3.5in Hot-Plug, AG Drive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6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Embedded Systems Management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iDRAC9, Enterprise 16G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Power Supply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Dual, Redundant(1+1), Hot-Plug Power Supply,1100W MM(100-240Vac) Titanium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Power Cords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C13 to C14, PDU Style, 10 AMP, 6.5 Feet (2m), Power Cord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2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Motherboard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PowerEdge R760xs Motherboard with Broadcom 5720 Dual Port 1Gb On-Board LOM, MLK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OCP 3.0 Network Adapters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Broadcom 57414 Dual Port 10/25GbE SFP28, OCP NIC 3.0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Operating System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No Operating System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Dell Services:Extended Service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ProSupport and Next Business Day Onsite Service Extension, 36 Month(s)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  <w:tr>
        <w:trPr>
          <w:trHeight w:val="240" w:hRule="atLeast"/>
        </w:trPr>
        <w:tc>
          <w:tcPr>
            <w:tcW w:w="2880" w:type="dxa"/>
            <w:tcBorders>
              <w:start w:val="single" w:sz="4" w:space="0" w:color="000000"/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Anti Theft Device &amp; Asset Tagging</w:t>
            </w:r>
          </w:p>
        </w:tc>
        <w:tc>
          <w:tcPr>
            <w:tcW w:w="710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Asset Tag - ProSupport (Website, barcode, Onboard MacAddress)</w:t>
            </w:r>
          </w:p>
        </w:tc>
        <w:tc>
          <w:tcPr>
            <w:tcW w:w="980" w:type="dxa"/>
            <w:tcBorders>
              <w:bottom w:val="single" w:sz="4" w:space="0" w:color="000000"/>
              <w:end w:val="single" w:sz="4" w:space="0" w:color="000000"/>
            </w:tcBorders>
            <w:vAlign w:val="bottom"/>
          </w:tcPr>
          <w:p>
            <w:pPr>
              <w:pStyle w:val="Normal"/>
              <w:bidi w:val="0"/>
              <w:ind w:hanging="0" w:start="0" w:end="0"/>
              <w:jc w:val="center"/>
              <w:rPr/>
            </w:pPr>
            <w:r>
              <w:rPr>
                <w:rFonts w:cs="Calibri" w:ascii="Calibri" w:hAnsi="Calibri"/>
                <w:i/>
                <w:iCs/>
                <w:color w:val="000000"/>
                <w:kern w:val="0"/>
                <w:sz w:val="18"/>
                <w:szCs w:val="18"/>
                <w:lang w:eastAsia="uk-UA" w:bidi="ar-SA"/>
              </w:rPr>
              <w:t>1</w:t>
            </w:r>
          </w:p>
        </w:tc>
      </w:tr>
    </w:tbl>
    <w:p>
      <w:pPr>
        <w:pStyle w:val="Normal"/>
        <w:bidi w:val="0"/>
        <w:ind w:hanging="0" w:start="0" w:end="0"/>
        <w:rPr/>
      </w:pPr>
      <w:r>
        <w:rPr/>
      </w:r>
    </w:p>
    <w:p>
      <w:pPr>
        <w:pStyle w:val="Normal"/>
        <w:bidi w:val="0"/>
        <w:ind w:hanging="0" w:start="0" w:end="0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rPr/>
      </w:pPr>
      <w:r>
        <w:rPr/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ind w:firstLine="567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  <w:t>П/З</w:t>
      </w:r>
    </w:p>
    <w:tbl>
      <w:tblPr>
        <w:tblW w:w="6760" w:type="dxa"/>
        <w:jc w:val="start"/>
        <w:tblInd w:w="118" w:type="dxa"/>
        <w:tblLayout w:type="fixed"/>
        <w:tblCellMar>
          <w:top w:w="0" w:type="dxa"/>
          <w:start w:w="108" w:type="dxa"/>
          <w:bottom w:w="0" w:type="dxa"/>
          <w:end w:w="108" w:type="dxa"/>
        </w:tblCellMar>
        <w:tblLook w:firstRow="1" w:noVBand="1" w:lastRow="0" w:firstColumn="1" w:lastColumn="0" w:noHBand="0" w:val="04a0"/>
      </w:tblPr>
      <w:tblGrid>
        <w:gridCol w:w="5800"/>
        <w:gridCol w:w="959"/>
      </w:tblGrid>
      <w:tr>
        <w:trPr>
          <w:trHeight w:val="300" w:hRule="atLeast"/>
        </w:trPr>
        <w:tc>
          <w:tcPr>
            <w:tcW w:w="580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</w:rPr>
              <w:t>Назва товару</w:t>
            </w:r>
          </w:p>
        </w:tc>
        <w:tc>
          <w:tcPr>
            <w:tcW w:w="959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shd w:color="auto" w:fill="FFFFFF" w:val="clear"/>
            <w:vAlign w:val="center"/>
          </w:tcPr>
          <w:p>
            <w:pPr>
              <w:pStyle w:val="Normal"/>
              <w:rPr/>
            </w:pPr>
            <w:r>
              <w:rPr>
                <w:b/>
                <w:bCs/>
              </w:rPr>
              <w:t>К-ть</w:t>
            </w:r>
          </w:p>
        </w:tc>
      </w:tr>
      <w:tr>
        <w:trPr>
          <w:trHeight w:val="300" w:hRule="atLeast"/>
        </w:trPr>
        <w:tc>
          <w:tcPr>
            <w:tcW w:w="5800" w:type="dxa"/>
            <w:tcBorders>
              <w:start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  <w:t xml:space="preserve">VMware vSphere Standard 8 </w:t>
            </w:r>
          </w:p>
        </w:tc>
        <w:tc>
          <w:tcPr>
            <w:tcW w:w="959" w:type="dxa"/>
            <w:tcBorders>
              <w:end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/>
            </w:pPr>
            <w:r>
              <w:rPr/>
              <w:t>64</w:t>
            </w:r>
          </w:p>
        </w:tc>
      </w:tr>
      <w:tr>
        <w:trPr>
          <w:trHeight w:val="300" w:hRule="atLeast"/>
        </w:trPr>
        <w:tc>
          <w:tcPr>
            <w:tcW w:w="5800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vAlign w:val="center"/>
          </w:tcPr>
          <w:p>
            <w:pPr>
              <w:pStyle w:val="Normal"/>
              <w:rPr/>
            </w:pPr>
            <w:r>
              <w:rPr/>
            </w:r>
          </w:p>
        </w:tc>
        <w:tc>
          <w:tcPr>
            <w:tcW w:w="959" w:type="dxa"/>
            <w:tcBorders>
              <w:bottom w:val="single" w:sz="8" w:space="0" w:color="000000"/>
              <w:end w:val="single" w:sz="8" w:space="0" w:color="000000"/>
            </w:tcBorders>
            <w:shd w:color="auto" w:fill="FFFFFF" w:val="clear"/>
            <w:vAlign w:val="bottom"/>
          </w:tcPr>
          <w:p>
            <w:pPr>
              <w:pStyle w:val="Normal"/>
              <w:rPr/>
            </w:pPr>
            <w:r>
              <w:rPr/>
            </w:r>
          </w:p>
        </w:tc>
      </w:tr>
    </w:tbl>
    <w:tbl>
      <w:tblPr>
        <w:tblW w:w="6810" w:type="dxa"/>
        <w:jc w:val="start"/>
        <w:tblInd w:w="108" w:type="dxa"/>
        <w:tblLayout w:type="fixed"/>
        <w:tblCellMar>
          <w:top w:w="28" w:type="dxa"/>
          <w:start w:w="108" w:type="dxa"/>
          <w:bottom w:w="28" w:type="dxa"/>
          <w:end w:w="108" w:type="dxa"/>
        </w:tblCellMar>
      </w:tblPr>
      <w:tblGrid>
        <w:gridCol w:w="5670"/>
        <w:gridCol w:w="1140"/>
      </w:tblGrid>
      <w:tr>
        <w:trPr/>
        <w:tc>
          <w:tcPr>
            <w:tcW w:w="567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vAlign w:val="bottom"/>
          </w:tcPr>
          <w:p>
            <w:pPr>
              <w:pStyle w:val="Style16"/>
              <w:spacing w:before="0" w:after="283"/>
              <w:ind w:hanging="0" w:start="0" w:end="0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Windows Server 2025 Datacenter - 16 Core</w:t>
            </w:r>
          </w:p>
        </w:tc>
        <w:tc>
          <w:tcPr>
            <w:tcW w:w="1140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tcMar>
              <w:start w:w="0" w:type="dxa"/>
            </w:tcMar>
            <w:vAlign w:val="bottom"/>
          </w:tcPr>
          <w:p>
            <w:pPr>
              <w:pStyle w:val="Style16"/>
              <w:spacing w:before="0" w:after="283"/>
              <w:ind w:hanging="0" w:start="0" w:end="0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</w:t>
            </w:r>
          </w:p>
        </w:tc>
      </w:tr>
    </w:tbl>
    <w:tbl>
      <w:tblPr>
        <w:tblW w:w="6795" w:type="dxa"/>
        <w:jc w:val="start"/>
        <w:tblInd w:w="108" w:type="dxa"/>
        <w:tblLayout w:type="fixed"/>
        <w:tblCellMar>
          <w:top w:w="28" w:type="dxa"/>
          <w:start w:w="108" w:type="dxa"/>
          <w:bottom w:w="28" w:type="dxa"/>
          <w:end w:w="108" w:type="dxa"/>
        </w:tblCellMar>
      </w:tblPr>
      <w:tblGrid>
        <w:gridCol w:w="5520"/>
        <w:gridCol w:w="1275"/>
      </w:tblGrid>
      <w:tr>
        <w:trPr/>
        <w:tc>
          <w:tcPr>
            <w:tcW w:w="5520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vAlign w:val="bottom"/>
          </w:tcPr>
          <w:p>
            <w:pPr>
              <w:pStyle w:val="Style16"/>
              <w:spacing w:before="0" w:after="283"/>
              <w:ind w:hanging="0" w:start="0" w:end="0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Windows Server 2025 Standard - 16 Core License Pack</w:t>
            </w:r>
          </w:p>
        </w:tc>
        <w:tc>
          <w:tcPr>
            <w:tcW w:w="127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tcMar>
              <w:start w:w="0" w:type="dxa"/>
            </w:tcMar>
            <w:vAlign w:val="bottom"/>
          </w:tcPr>
          <w:p>
            <w:pPr>
              <w:pStyle w:val="Style16"/>
              <w:spacing w:before="0" w:after="283"/>
              <w:ind w:hanging="0" w:start="0" w:end="0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4</w:t>
            </w:r>
          </w:p>
        </w:tc>
      </w:tr>
    </w:tbl>
    <w:tbl>
      <w:tblPr>
        <w:tblW w:w="6750" w:type="dxa"/>
        <w:jc w:val="start"/>
        <w:tblInd w:w="108" w:type="dxa"/>
        <w:tblLayout w:type="fixed"/>
        <w:tblCellMar>
          <w:top w:w="0" w:type="dxa"/>
          <w:start w:w="108" w:type="dxa"/>
          <w:bottom w:w="28" w:type="dxa"/>
          <w:end w:w="108" w:type="dxa"/>
        </w:tblCellMar>
      </w:tblPr>
      <w:tblGrid>
        <w:gridCol w:w="5805"/>
        <w:gridCol w:w="945"/>
      </w:tblGrid>
      <w:tr>
        <w:trPr/>
        <w:tc>
          <w:tcPr>
            <w:tcW w:w="580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vAlign w:val="bottom"/>
          </w:tcPr>
          <w:p>
            <w:pPr>
              <w:pStyle w:val="Style16"/>
              <w:spacing w:before="0" w:after="283"/>
              <w:ind w:hanging="0" w:start="0" w:end="0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SQL Server 2022 Standard Edition</w:t>
            </w:r>
          </w:p>
        </w:tc>
        <w:tc>
          <w:tcPr>
            <w:tcW w:w="94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tcMar>
              <w:start w:w="0" w:type="dxa"/>
            </w:tcMar>
            <w:vAlign w:val="bottom"/>
          </w:tcPr>
          <w:p>
            <w:pPr>
              <w:pStyle w:val="Style16"/>
              <w:spacing w:before="0" w:after="283"/>
              <w:ind w:hanging="0" w:start="0" w:end="0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1</w:t>
            </w:r>
          </w:p>
        </w:tc>
      </w:tr>
      <w:tr>
        <w:trPr/>
        <w:tc>
          <w:tcPr>
            <w:tcW w:w="580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vAlign w:val="bottom"/>
          </w:tcPr>
          <w:p>
            <w:pPr>
              <w:pStyle w:val="Style16"/>
              <w:spacing w:before="0" w:after="283"/>
              <w:ind w:hanging="0" w:start="0" w:end="0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SQL Server 2022 - 1 User CAL</w:t>
            </w:r>
          </w:p>
        </w:tc>
        <w:tc>
          <w:tcPr>
            <w:tcW w:w="945" w:type="dxa"/>
            <w:tcBorders>
              <w:bottom w:val="single" w:sz="8" w:space="0" w:color="000000"/>
              <w:end w:val="single" w:sz="8" w:space="0" w:color="000000"/>
            </w:tcBorders>
            <w:shd w:fill="FFFFFF" w:val="clear"/>
            <w:tcMar>
              <w:start w:w="0" w:type="dxa"/>
            </w:tcMar>
            <w:vAlign w:val="bottom"/>
          </w:tcPr>
          <w:p>
            <w:pPr>
              <w:pStyle w:val="Style16"/>
              <w:spacing w:before="0" w:after="283"/>
              <w:ind w:hanging="0" w:start="0" w:end="0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6</w:t>
            </w:r>
            <w:r>
              <w:rPr>
                <w:rFonts w:ascii="Calibri;sans-serif" w:hAnsi="Calibri;sans-serif"/>
                <w:color w:val="000000"/>
                <w:sz w:val="22"/>
              </w:rPr>
              <w:t>0</w:t>
            </w:r>
          </w:p>
        </w:tc>
      </w:tr>
    </w:tbl>
    <w:tbl>
      <w:tblPr>
        <w:tblW w:w="6810" w:type="dxa"/>
        <w:jc w:val="start"/>
        <w:tblInd w:w="108" w:type="dxa"/>
        <w:tblLayout w:type="fixed"/>
        <w:tblCellMar>
          <w:top w:w="28" w:type="dxa"/>
          <w:start w:w="108" w:type="dxa"/>
          <w:bottom w:w="28" w:type="dxa"/>
          <w:end w:w="108" w:type="dxa"/>
        </w:tblCellMar>
      </w:tblPr>
      <w:tblGrid>
        <w:gridCol w:w="5955"/>
        <w:gridCol w:w="855"/>
      </w:tblGrid>
      <w:tr>
        <w:trPr/>
        <w:tc>
          <w:tcPr>
            <w:tcW w:w="5955" w:type="dxa"/>
            <w:tcBorders>
              <w:top w:val="single" w:sz="8" w:space="0" w:color="000000"/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vAlign w:val="bottom"/>
          </w:tcPr>
          <w:p>
            <w:pPr>
              <w:pStyle w:val="Style16"/>
              <w:spacing w:before="0" w:after="283"/>
              <w:ind w:hanging="0" w:start="0" w:end="0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Windows Server 2025 - 1 User CAL</w:t>
            </w:r>
          </w:p>
        </w:tc>
        <w:tc>
          <w:tcPr>
            <w:tcW w:w="855" w:type="dxa"/>
            <w:tcBorders>
              <w:top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tcMar>
              <w:start w:w="0" w:type="dxa"/>
            </w:tcMar>
            <w:vAlign w:val="bottom"/>
          </w:tcPr>
          <w:p>
            <w:pPr>
              <w:pStyle w:val="Style16"/>
              <w:spacing w:before="0" w:after="283"/>
              <w:ind w:hanging="0" w:start="0" w:end="0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6</w:t>
            </w:r>
            <w:r>
              <w:rPr>
                <w:rFonts w:ascii="Calibri;sans-serif" w:hAnsi="Calibri;sans-serif"/>
                <w:color w:val="000000"/>
                <w:sz w:val="22"/>
              </w:rPr>
              <w:t>0</w:t>
            </w:r>
          </w:p>
        </w:tc>
      </w:tr>
      <w:tr>
        <w:trPr/>
        <w:tc>
          <w:tcPr>
            <w:tcW w:w="5955" w:type="dxa"/>
            <w:tcBorders>
              <w:start w:val="single" w:sz="8" w:space="0" w:color="000000"/>
              <w:bottom w:val="single" w:sz="8" w:space="0" w:color="000000"/>
              <w:end w:val="single" w:sz="8" w:space="0" w:color="000000"/>
            </w:tcBorders>
            <w:shd w:fill="FFFFFF" w:val="clear"/>
            <w:tcMar>
              <w:top w:w="0" w:type="dxa"/>
            </w:tcMar>
            <w:vAlign w:val="bottom"/>
          </w:tcPr>
          <w:p>
            <w:pPr>
              <w:pStyle w:val="Style16"/>
              <w:spacing w:before="0" w:after="283"/>
              <w:ind w:hanging="0" w:start="0" w:end="0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Windows Server 2025 Remote Desktop Services - 1 User CAL</w:t>
            </w:r>
          </w:p>
        </w:tc>
        <w:tc>
          <w:tcPr>
            <w:tcW w:w="855" w:type="dxa"/>
            <w:tcBorders>
              <w:bottom w:val="single" w:sz="8" w:space="0" w:color="000000"/>
              <w:end w:val="single" w:sz="8" w:space="0" w:color="000000"/>
            </w:tcBorders>
            <w:shd w:fill="FFFFFF" w:val="clear"/>
            <w:tcMar>
              <w:top w:w="0" w:type="dxa"/>
              <w:start w:w="0" w:type="dxa"/>
            </w:tcMar>
            <w:vAlign w:val="bottom"/>
          </w:tcPr>
          <w:p>
            <w:pPr>
              <w:pStyle w:val="Style16"/>
              <w:spacing w:before="0" w:after="283"/>
              <w:ind w:hanging="0" w:start="0" w:end="0"/>
              <w:jc w:val="center"/>
              <w:rPr>
                <w:rFonts w:ascii="Calibri;sans-serif" w:hAnsi="Calibri;sans-serif"/>
                <w:color w:val="000000"/>
                <w:sz w:val="22"/>
              </w:rPr>
            </w:pPr>
            <w:r>
              <w:rPr>
                <w:rFonts w:ascii="Calibri;sans-serif" w:hAnsi="Calibri;sans-serif"/>
                <w:color w:val="000000"/>
                <w:sz w:val="22"/>
              </w:rPr>
              <w:t>6</w:t>
            </w:r>
            <w:r>
              <w:rPr>
                <w:rFonts w:ascii="Calibri;sans-serif" w:hAnsi="Calibri;sans-serif"/>
                <w:color w:val="000000"/>
                <w:sz w:val="22"/>
              </w:rPr>
              <w:t>0</w:t>
            </w:r>
          </w:p>
        </w:tc>
      </w:tr>
    </w:tbl>
    <w:p>
      <w:pPr>
        <w:pStyle w:val="BodyText"/>
        <w:ind w:hanging="0" w:start="0" w:end="0"/>
        <w:rPr/>
      </w:pPr>
      <w:r>
        <w:rPr/>
        <w:t> </w:t>
      </w:r>
    </w:p>
    <w:p>
      <w:pPr>
        <w:pStyle w:val="Normal"/>
        <w:rPr/>
      </w:pPr>
      <w:r>
        <w:rPr/>
      </w:r>
    </w:p>
    <w:sectPr>
      <w:type w:val="nextPage"/>
      <w:pgSz w:orient="landscape" w:w="16838" w:h="11906"/>
      <w:pgMar w:left="1134" w:right="1134" w:gutter="0" w:header="0" w:top="1134" w:footer="0" w:bottom="1134"/>
      <w:pgNumType w:fmt="decimal"/>
      <w:formProt w:val="false"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cc" w:characterSet="windows-1251"/>
    <w:family w:val="roman"/>
    <w:pitch w:val="variable"/>
  </w:font>
  <w:font w:name="Liberation Sans">
    <w:altName w:val="Arial"/>
    <w:charset w:val="cc" w:characterSet="windows-1251"/>
    <w:family w:val="swiss"/>
    <w:pitch w:val="variable"/>
  </w:font>
  <w:font w:name="Times New Roman">
    <w:charset w:val="cc" w:characterSet="windows-1251"/>
    <w:family w:val="roman"/>
    <w:pitch w:val="variable"/>
  </w:font>
  <w:font w:name="Calibri">
    <w:charset w:val="cc" w:characterSet="windows-1251"/>
    <w:family w:val="roman"/>
    <w:pitch w:val="variable"/>
  </w:font>
  <w:font w:name="Calibri">
    <w:altName w:val="sans-serif"/>
    <w:charset w:val="cc" w:characterSet="windows-1251"/>
    <w:family w:val="auto"/>
    <w:pitch w:val="default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hyphenationZone w:val="0"/>
  <w:compat>
    <w:doNotBreakWrappedTables/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Lucida Sans"/>
        <w:kern w:val="2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start"/>
    </w:pPr>
    <w:rPr>
      <w:rFonts w:ascii="Liberation Serif" w:hAnsi="Liberation Serif" w:eastAsia="NSimSun" w:cs="Lucida Sans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color w:val="000080"/>
      <w:u w:val="single"/>
    </w:rPr>
  </w:style>
  <w:style w:type="paragraph" w:styleId="Style14" w:customStyle="1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styleId="Style15" w:customStyle="1">
    <w:name w:val="Покажчик"/>
    <w:basedOn w:val="Normal"/>
    <w:qFormat/>
    <w:pPr>
      <w:suppressLineNumbers/>
    </w:pPr>
    <w:rPr/>
  </w:style>
  <w:style w:type="paragraph" w:styleId="user" w:customStyle="1">
    <w:name w:val="Заголовок (user)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/>
      <w:sz w:val="28"/>
      <w:szCs w:val="28"/>
    </w:rPr>
  </w:style>
  <w:style w:type="paragraph" w:styleId="user1" w:customStyle="1">
    <w:name w:val="Покажчик (user)"/>
    <w:basedOn w:val="Normal"/>
    <w:qFormat/>
    <w:pPr>
      <w:suppressLineNumbers/>
    </w:pPr>
    <w:rPr/>
  </w:style>
  <w:style w:type="paragraph" w:styleId="user2" w:customStyle="1">
    <w:name w:val="Вміст таблиці (user)"/>
    <w:basedOn w:val="Normal"/>
    <w:qFormat/>
    <w:pPr>
      <w:widowControl w:val="false"/>
      <w:suppressLineNumbers/>
    </w:pPr>
    <w:rPr/>
  </w:style>
  <w:style w:type="paragraph" w:styleId="user3" w:customStyle="1">
    <w:name w:val="Заголовок таблиці (user)"/>
    <w:basedOn w:val="user2"/>
    <w:qFormat/>
    <w:pPr>
      <w:jc w:val="center"/>
    </w:pPr>
    <w:rPr>
      <w:b/>
      <w:bCs/>
    </w:rPr>
  </w:style>
  <w:style w:type="paragraph" w:styleId="Style16">
    <w:name w:val="Вміст таблиці"/>
    <w:basedOn w:val="Normal"/>
    <w:qFormat/>
    <w:pPr>
      <w:widowControl w:val="false"/>
      <w:suppressLineNumbers/>
    </w:pPr>
    <w:rPr/>
  </w:style>
  <w:style w:type="paragraph" w:styleId="Style17">
    <w:name w:val="Заголовок таблиці"/>
    <w:basedOn w:val="Style16"/>
    <w:qFormat/>
    <w:pPr>
      <w:suppressLineNumbers/>
      <w:jc w:val="center"/>
    </w:pPr>
    <w:rPr>
      <w:b/>
      <w:bCs/>
    </w:rPr>
  </w:style>
  <w:style w:type="numbering" w:styleId="Style18" w:customStyle="1">
    <w:name w:val="Без маркерів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LibreOffice/24.8.6.1$Windows_X86_64 LibreOffice_project/051bf11303684a0a982c9966e8be766d0a9efbc7</Application>
  <AppVersion>15.0000</AppVersion>
  <Pages>7</Pages>
  <Words>893</Words>
  <Characters>4648</Characters>
  <CharactersWithSpaces>5260</CharactersWithSpaces>
  <Paragraphs>306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2025-04-17T09:20:11Z</dcterms:created>
  <dc:creator/>
  <dc:description/>
  <dc:language>uk-UA</dc:language>
  <cp:lastModifiedBy/>
  <dcterms:modified xsi:type="dcterms:W3CDTF">2025-04-22T10:45:08Z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