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57A89" w14:textId="77777777" w:rsidR="00537110" w:rsidRPr="00537110" w:rsidRDefault="00537110" w:rsidP="00537110">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537110">
        <w:rPr>
          <w:rFonts w:ascii="Times New Roman" w:eastAsia="Times New Roman" w:hAnsi="Times New Roman" w:cs="Times New Roman"/>
          <w:b/>
          <w:bCs/>
          <w:color w:val="000000"/>
          <w:kern w:val="0"/>
          <w:sz w:val="28"/>
          <w:szCs w:val="28"/>
          <w:lang w:eastAsia="ru-RU"/>
          <w14:ligatures w14:val="none"/>
        </w:rPr>
        <w:tab/>
      </w:r>
      <w:r w:rsidRPr="00537110">
        <w:rPr>
          <w:rFonts w:ascii="Times New Roman" w:eastAsia="Times New Roman" w:hAnsi="Times New Roman" w:cs="Times New Roman"/>
          <w:b/>
          <w:bCs/>
          <w:color w:val="000000"/>
          <w:kern w:val="0"/>
          <w:sz w:val="28"/>
          <w:szCs w:val="28"/>
          <w:lang w:eastAsia="ru-RU"/>
          <w14:ligatures w14:val="none"/>
        </w:rPr>
        <w:tab/>
      </w:r>
      <w:r w:rsidRPr="00537110">
        <w:rPr>
          <w:rFonts w:ascii="Times New Roman" w:eastAsia="Times New Roman" w:hAnsi="Times New Roman" w:cs="Times New Roman"/>
          <w:b/>
          <w:bCs/>
          <w:color w:val="000000"/>
          <w:kern w:val="0"/>
          <w:sz w:val="28"/>
          <w:szCs w:val="28"/>
          <w:lang w:eastAsia="ru-RU"/>
          <w14:ligatures w14:val="none"/>
        </w:rPr>
        <w:tab/>
      </w:r>
      <w:r w:rsidRPr="00537110">
        <w:rPr>
          <w:rFonts w:ascii="Times New Roman" w:eastAsia="Times New Roman" w:hAnsi="Times New Roman" w:cs="Times New Roman"/>
          <w:b/>
          <w:bCs/>
          <w:color w:val="000000"/>
          <w:kern w:val="0"/>
          <w:sz w:val="28"/>
          <w:szCs w:val="28"/>
          <w:lang w:val="en-US" w:eastAsia="ru-RU"/>
          <w14:ligatures w14:val="none"/>
        </w:rPr>
        <w:t xml:space="preserve">                                          </w:t>
      </w:r>
      <w:r w:rsidRPr="00537110">
        <w:rPr>
          <w:rFonts w:ascii="Times New Roman" w:eastAsia="Times New Roman" w:hAnsi="Times New Roman" w:cs="Times New Roman"/>
          <w:b/>
          <w:bCs/>
          <w:color w:val="000000"/>
          <w:kern w:val="0"/>
          <w:sz w:val="28"/>
          <w:szCs w:val="28"/>
          <w:lang w:eastAsia="ru-RU"/>
          <w14:ligatures w14:val="none"/>
        </w:rPr>
        <w:tab/>
      </w:r>
      <w:r w:rsidRPr="00537110">
        <w:rPr>
          <w:rFonts w:ascii="Times New Roman" w:eastAsia="Times New Roman" w:hAnsi="Times New Roman" w:cs="Times New Roman"/>
          <w:b/>
          <w:bCs/>
          <w:color w:val="000000"/>
          <w:kern w:val="0"/>
          <w:sz w:val="28"/>
          <w:szCs w:val="28"/>
          <w:lang w:eastAsia="ru-RU"/>
          <w14:ligatures w14:val="none"/>
        </w:rPr>
        <w:tab/>
      </w:r>
      <w:r w:rsidRPr="00537110">
        <w:rPr>
          <w:rFonts w:ascii="Times New Roman" w:eastAsia="Times New Roman" w:hAnsi="Times New Roman" w:cs="Times New Roman"/>
          <w:b/>
          <w:bCs/>
          <w:color w:val="000000"/>
          <w:kern w:val="0"/>
          <w:sz w:val="28"/>
          <w:szCs w:val="28"/>
          <w:lang w:eastAsia="ru-RU"/>
          <w14:ligatures w14:val="none"/>
        </w:rPr>
        <w:tab/>
      </w:r>
    </w:p>
    <w:tbl>
      <w:tblPr>
        <w:tblpPr w:leftFromText="45" w:rightFromText="45" w:vertAnchor="text" w:tblpXSpec="right" w:tblpYSpec="center"/>
        <w:tblW w:w="2250" w:type="pct"/>
        <w:tblLook w:val="0000" w:firstRow="0" w:lastRow="0" w:firstColumn="0" w:lastColumn="0" w:noHBand="0" w:noVBand="0"/>
      </w:tblPr>
      <w:tblGrid>
        <w:gridCol w:w="4465"/>
      </w:tblGrid>
      <w:tr w:rsidR="00537110" w:rsidRPr="00537110" w14:paraId="7263F5FA" w14:textId="77777777" w:rsidTr="00003686">
        <w:tc>
          <w:tcPr>
            <w:tcW w:w="5000" w:type="pct"/>
          </w:tcPr>
          <w:p w14:paraId="668AB58E"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16"/>
                <w:szCs w:val="16"/>
                <w:lang w:eastAsia="ru-RU"/>
                <w14:ligatures w14:val="none"/>
              </w:rPr>
            </w:pPr>
            <w:r w:rsidRPr="00537110">
              <w:rPr>
                <w:rFonts w:ascii="Times New Roman" w:eastAsia="Times New Roman" w:hAnsi="Times New Roman" w:cs="Times New Roman"/>
                <w:color w:val="000000"/>
                <w:kern w:val="0"/>
                <w:sz w:val="16"/>
                <w:szCs w:val="16"/>
                <w:lang w:eastAsia="ru-RU"/>
                <w14:ligatures w14:val="none"/>
              </w:rPr>
              <w:t xml:space="preserve">Додаток 29 </w:t>
            </w:r>
            <w:r w:rsidRPr="00537110">
              <w:rPr>
                <w:rFonts w:ascii="Times New Roman" w:eastAsia="Times New Roman" w:hAnsi="Times New Roman" w:cs="Times New Roman"/>
                <w:color w:val="000000"/>
                <w:kern w:val="0"/>
                <w:sz w:val="16"/>
                <w:szCs w:val="16"/>
                <w:lang w:eastAsia="ru-RU"/>
                <w14:ligatures w14:val="none"/>
              </w:rPr>
              <w:br/>
              <w:t xml:space="preserve">до Положення про розкриття </w:t>
            </w:r>
            <w:r w:rsidRPr="00537110">
              <w:rPr>
                <w:rFonts w:ascii="Times New Roman" w:eastAsia="Times New Roman" w:hAnsi="Times New Roman" w:cs="Times New Roman"/>
                <w:color w:val="000000"/>
                <w:kern w:val="0"/>
                <w:sz w:val="16"/>
                <w:szCs w:val="16"/>
                <w:lang w:eastAsia="ru-RU"/>
                <w14:ligatures w14:val="none"/>
              </w:rPr>
              <w:br/>
              <w:t xml:space="preserve">інформації емітентами цінних паперів </w:t>
            </w:r>
            <w:r w:rsidRPr="00537110">
              <w:rPr>
                <w:rFonts w:ascii="Times New Roman" w:eastAsia="Times New Roman" w:hAnsi="Times New Roman" w:cs="Times New Roman"/>
                <w:color w:val="000000"/>
                <w:kern w:val="0"/>
                <w:sz w:val="16"/>
                <w:szCs w:val="16"/>
                <w:lang w:eastAsia="ru-RU"/>
                <w14:ligatures w14:val="none"/>
              </w:rPr>
              <w:br/>
              <w:t>(пункт 1 глави 3 розділу III)</w:t>
            </w:r>
          </w:p>
        </w:tc>
      </w:tr>
    </w:tbl>
    <w:p w14:paraId="7FE07F83" w14:textId="77777777" w:rsidR="00537110" w:rsidRPr="00537110" w:rsidRDefault="00537110" w:rsidP="00537110">
      <w:pPr>
        <w:spacing w:before="100" w:beforeAutospacing="1" w:after="100" w:afterAutospacing="1" w:line="240" w:lineRule="auto"/>
        <w:jc w:val="both"/>
        <w:rPr>
          <w:rFonts w:ascii="Times New Roman" w:eastAsia="Times New Roman" w:hAnsi="Times New Roman" w:cs="Times New Roman"/>
          <w:color w:val="000000"/>
          <w:kern w:val="0"/>
          <w:sz w:val="16"/>
          <w:szCs w:val="16"/>
          <w:lang w:eastAsia="ru-RU"/>
          <w14:ligatures w14:val="none"/>
        </w:rPr>
      </w:pPr>
      <w:r w:rsidRPr="00537110">
        <w:rPr>
          <w:rFonts w:ascii="Times New Roman" w:eastAsia="Times New Roman" w:hAnsi="Times New Roman" w:cs="Times New Roman"/>
          <w:color w:val="000000"/>
          <w:kern w:val="0"/>
          <w:sz w:val="16"/>
          <w:szCs w:val="16"/>
          <w:lang w:eastAsia="ru-RU"/>
          <w14:ligatures w14:val="none"/>
        </w:rPr>
        <w:br w:type="textWrapping" w:clear="all"/>
      </w:r>
    </w:p>
    <w:p w14:paraId="6288C2FE" w14:textId="77777777" w:rsidR="00537110" w:rsidRPr="00537110" w:rsidRDefault="00537110" w:rsidP="00537110">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537110">
        <w:rPr>
          <w:rFonts w:ascii="Times New Roman" w:eastAsia="Times New Roman" w:hAnsi="Times New Roman" w:cs="Times New Roman"/>
          <w:b/>
          <w:bCs/>
          <w:color w:val="000000"/>
          <w:kern w:val="0"/>
          <w:sz w:val="28"/>
          <w:szCs w:val="28"/>
          <w:lang w:val="ru-RU" w:eastAsia="ru-RU"/>
          <w14:ligatures w14:val="none"/>
        </w:rPr>
        <w:tab/>
      </w:r>
      <w:r w:rsidRPr="00537110">
        <w:rPr>
          <w:rFonts w:ascii="Times New Roman" w:eastAsia="Times New Roman" w:hAnsi="Times New Roman" w:cs="Times New Roman"/>
          <w:b/>
          <w:bCs/>
          <w:color w:val="000000"/>
          <w:kern w:val="0"/>
          <w:sz w:val="28"/>
          <w:szCs w:val="28"/>
          <w:lang w:val="ru-RU" w:eastAsia="ru-RU"/>
          <w14:ligatures w14:val="none"/>
        </w:rPr>
        <w:tab/>
      </w:r>
      <w:r w:rsidRPr="00537110">
        <w:rPr>
          <w:rFonts w:ascii="Times New Roman" w:eastAsia="Times New Roman" w:hAnsi="Times New Roman" w:cs="Times New Roman"/>
          <w:b/>
          <w:bCs/>
          <w:color w:val="000000"/>
          <w:kern w:val="0"/>
          <w:sz w:val="28"/>
          <w:szCs w:val="28"/>
          <w:lang w:val="ru-RU" w:eastAsia="ru-RU"/>
          <w14:ligatures w14:val="none"/>
        </w:rPr>
        <w:tab/>
      </w:r>
      <w:r w:rsidRPr="00537110">
        <w:rPr>
          <w:rFonts w:ascii="Times New Roman" w:eastAsia="Times New Roman" w:hAnsi="Times New Roman" w:cs="Times New Roman"/>
          <w:b/>
          <w:bCs/>
          <w:color w:val="000000"/>
          <w:kern w:val="0"/>
          <w:sz w:val="28"/>
          <w:szCs w:val="28"/>
          <w:lang w:val="ru-RU" w:eastAsia="ru-RU"/>
          <w14:ligatures w14:val="none"/>
        </w:rPr>
        <w:tab/>
      </w:r>
      <w:r w:rsidRPr="00537110">
        <w:rPr>
          <w:rFonts w:ascii="Times New Roman" w:eastAsia="Times New Roman" w:hAnsi="Times New Roman" w:cs="Times New Roman"/>
          <w:b/>
          <w:bCs/>
          <w:color w:val="000000"/>
          <w:kern w:val="0"/>
          <w:sz w:val="28"/>
          <w:szCs w:val="28"/>
          <w:lang w:val="ru-RU" w:eastAsia="ru-RU"/>
          <w14:ligatures w14:val="none"/>
        </w:rPr>
        <w:tab/>
      </w:r>
      <w:r w:rsidRPr="00537110">
        <w:rPr>
          <w:rFonts w:ascii="Times New Roman" w:eastAsia="Times New Roman" w:hAnsi="Times New Roman" w:cs="Times New Roman"/>
          <w:b/>
          <w:bCs/>
          <w:color w:val="000000"/>
          <w:kern w:val="0"/>
          <w:sz w:val="28"/>
          <w:szCs w:val="28"/>
          <w:lang w:val="ru-RU" w:eastAsia="ru-RU"/>
          <w14:ligatures w14:val="none"/>
        </w:rPr>
        <w:tab/>
        <w:t>Титульний аркуш</w:t>
      </w:r>
    </w:p>
    <w:p w14:paraId="205EE1C2" w14:textId="77777777" w:rsidR="00537110" w:rsidRPr="00537110" w:rsidRDefault="00537110" w:rsidP="00537110">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537110">
        <w:rPr>
          <w:rFonts w:ascii="Times New Roman" w:eastAsia="Times New Roman" w:hAnsi="Times New Roman" w:cs="Times New Roman"/>
          <w:b/>
          <w:bCs/>
          <w:color w:val="000000"/>
          <w:kern w:val="0"/>
          <w:sz w:val="28"/>
          <w:szCs w:val="28"/>
          <w:lang w:eastAsia="ru-RU"/>
          <w14:ligatures w14:val="none"/>
        </w:rPr>
        <w:t xml:space="preserve">         </w:t>
      </w:r>
      <w:r w:rsidRPr="00537110">
        <w:rPr>
          <w:rFonts w:ascii="Times New Roman" w:eastAsia="Times New Roman" w:hAnsi="Times New Roman" w:cs="Times New Roman"/>
          <w:b/>
          <w:bCs/>
          <w:color w:val="000000"/>
          <w:kern w:val="0"/>
          <w:sz w:val="28"/>
          <w:szCs w:val="28"/>
          <w:lang w:val="ru-RU" w:eastAsia="ru-RU"/>
          <w14:ligatures w14:val="none"/>
        </w:rPr>
        <w:t xml:space="preserve">     </w:t>
      </w:r>
      <w:r w:rsidRPr="00537110">
        <w:rPr>
          <w:rFonts w:ascii="Times New Roman" w:eastAsia="Times New Roman" w:hAnsi="Times New Roman" w:cs="Times New Roman"/>
          <w:b/>
          <w:bCs/>
          <w:color w:val="000000"/>
          <w:kern w:val="0"/>
          <w:sz w:val="20"/>
          <w:szCs w:val="20"/>
          <w:u w:val="single"/>
          <w:lang w:val="en-US" w:eastAsia="ru-RU"/>
          <w14:ligatures w14:val="none"/>
        </w:rPr>
        <w:t>29.01.2024</w:t>
      </w:r>
    </w:p>
    <w:p w14:paraId="73079096" w14:textId="77777777" w:rsidR="00537110" w:rsidRPr="00537110" w:rsidRDefault="00537110" w:rsidP="00537110">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537110">
        <w:rPr>
          <w:rFonts w:ascii="Times New Roman" w:eastAsia="Times New Roman" w:hAnsi="Times New Roman" w:cs="Times New Roman"/>
          <w:b/>
          <w:bCs/>
          <w:color w:val="000000"/>
          <w:kern w:val="0"/>
          <w:sz w:val="20"/>
          <w:szCs w:val="20"/>
          <w:lang w:val="ru-RU" w:eastAsia="ru-RU"/>
          <w14:ligatures w14:val="none"/>
        </w:rPr>
        <w:t xml:space="preserve">            </w:t>
      </w:r>
      <w:r w:rsidRPr="00537110">
        <w:rPr>
          <w:rFonts w:ascii="Times New Roman" w:eastAsia="Times New Roman" w:hAnsi="Times New Roman" w:cs="Times New Roman"/>
          <w:b/>
          <w:bCs/>
          <w:color w:val="000000"/>
          <w:kern w:val="0"/>
          <w:sz w:val="20"/>
          <w:szCs w:val="20"/>
          <w:lang w:eastAsia="ru-RU"/>
          <w14:ligatures w14:val="none"/>
        </w:rPr>
        <w:t xml:space="preserve"> (</w:t>
      </w:r>
      <w:r w:rsidRPr="00537110">
        <w:rPr>
          <w:rFonts w:ascii="Times New Roman" w:eastAsia="Times New Roman" w:hAnsi="Times New Roman" w:cs="Times New Roman"/>
          <w:bCs/>
          <w:color w:val="000000"/>
          <w:kern w:val="0"/>
          <w:sz w:val="16"/>
          <w:szCs w:val="16"/>
          <w:lang w:eastAsia="ru-RU"/>
          <w14:ligatures w14:val="none"/>
        </w:rPr>
        <w:t xml:space="preserve">дата реєстрації емітентом </w:t>
      </w:r>
      <w:r w:rsidRPr="00537110">
        <w:rPr>
          <w:rFonts w:ascii="Times New Roman" w:eastAsia="Times New Roman" w:hAnsi="Times New Roman" w:cs="Times New Roman"/>
          <w:bCs/>
          <w:color w:val="000000"/>
          <w:kern w:val="0"/>
          <w:sz w:val="16"/>
          <w:szCs w:val="16"/>
          <w:lang w:eastAsia="ru-RU"/>
          <w14:ligatures w14:val="none"/>
        </w:rPr>
        <w:br/>
        <w:t xml:space="preserve">                  електронного документа)</w:t>
      </w:r>
    </w:p>
    <w:p w14:paraId="0442C4C7" w14:textId="77777777" w:rsidR="00537110" w:rsidRPr="00537110" w:rsidRDefault="00537110" w:rsidP="00537110">
      <w:pPr>
        <w:spacing w:after="0" w:line="240" w:lineRule="auto"/>
        <w:outlineLvl w:val="2"/>
        <w:rPr>
          <w:rFonts w:ascii="Times New Roman" w:eastAsia="Times New Roman" w:hAnsi="Times New Roman" w:cs="Times New Roman"/>
          <w:bCs/>
          <w:color w:val="000000"/>
          <w:kern w:val="0"/>
          <w:sz w:val="16"/>
          <w:szCs w:val="16"/>
          <w:lang w:eastAsia="ru-RU"/>
          <w14:ligatures w14:val="none"/>
        </w:rPr>
      </w:pPr>
    </w:p>
    <w:p w14:paraId="1083CA8E" w14:textId="77777777" w:rsidR="00537110" w:rsidRPr="00537110" w:rsidRDefault="00537110" w:rsidP="00537110">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537110">
        <w:rPr>
          <w:rFonts w:ascii="Times New Roman" w:eastAsia="Times New Roman" w:hAnsi="Times New Roman" w:cs="Times New Roman"/>
          <w:bCs/>
          <w:color w:val="000000"/>
          <w:kern w:val="0"/>
          <w:sz w:val="16"/>
          <w:szCs w:val="16"/>
          <w:lang w:val="ru-RU" w:eastAsia="ru-RU"/>
          <w14:ligatures w14:val="none"/>
        </w:rPr>
        <w:t xml:space="preserve">               </w:t>
      </w:r>
      <w:r w:rsidRPr="00537110">
        <w:rPr>
          <w:rFonts w:ascii="Times New Roman" w:eastAsia="Times New Roman" w:hAnsi="Times New Roman" w:cs="Times New Roman"/>
          <w:bCs/>
          <w:color w:val="000000"/>
          <w:kern w:val="0"/>
          <w:sz w:val="16"/>
          <w:szCs w:val="16"/>
          <w:lang w:eastAsia="ru-RU"/>
          <w14:ligatures w14:val="none"/>
        </w:rPr>
        <w:t xml:space="preserve">№ </w:t>
      </w:r>
      <w:r w:rsidRPr="00537110">
        <w:rPr>
          <w:rFonts w:ascii="Times New Roman" w:eastAsia="Times New Roman" w:hAnsi="Times New Roman" w:cs="Times New Roman"/>
          <w:b/>
          <w:bCs/>
          <w:color w:val="000000"/>
          <w:kern w:val="0"/>
          <w:sz w:val="20"/>
          <w:szCs w:val="20"/>
          <w:u w:val="single"/>
          <w:lang w:val="en-US" w:eastAsia="ru-RU"/>
          <w14:ligatures w14:val="none"/>
        </w:rPr>
        <w:t>01/149-1/7</w:t>
      </w:r>
    </w:p>
    <w:p w14:paraId="2AFE6F45" w14:textId="77777777" w:rsidR="00537110" w:rsidRPr="00537110" w:rsidRDefault="00537110" w:rsidP="00537110">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537110">
        <w:rPr>
          <w:rFonts w:ascii="Times New Roman" w:eastAsia="Times New Roman" w:hAnsi="Times New Roman" w:cs="Times New Roman"/>
          <w:bCs/>
          <w:color w:val="000000"/>
          <w:kern w:val="0"/>
          <w:sz w:val="16"/>
          <w:szCs w:val="16"/>
          <w:lang w:val="ru-RU" w:eastAsia="ru-RU"/>
          <w14:ligatures w14:val="none"/>
        </w:rPr>
        <w:t xml:space="preserve">                  </w:t>
      </w:r>
      <w:r w:rsidRPr="00537110">
        <w:rPr>
          <w:rFonts w:ascii="Times New Roman" w:eastAsia="Times New Roman" w:hAnsi="Times New Roman" w:cs="Times New Roman"/>
          <w:bCs/>
          <w:color w:val="000000"/>
          <w:kern w:val="0"/>
          <w:sz w:val="16"/>
          <w:szCs w:val="16"/>
          <w:lang w:eastAsia="ru-RU"/>
          <w14:ligatures w14:val="none"/>
        </w:rPr>
        <w:t>вихідний реєстраційний</w:t>
      </w:r>
      <w:r w:rsidRPr="00537110">
        <w:rPr>
          <w:rFonts w:ascii="Times New Roman" w:eastAsia="Times New Roman" w:hAnsi="Times New Roman" w:cs="Times New Roman"/>
          <w:bCs/>
          <w:color w:val="000000"/>
          <w:kern w:val="0"/>
          <w:sz w:val="16"/>
          <w:szCs w:val="16"/>
          <w:lang w:eastAsia="ru-RU"/>
          <w14:ligatures w14:val="none"/>
        </w:rPr>
        <w:br/>
        <w:t xml:space="preserve">                  номер електронного документа)</w:t>
      </w: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537110" w:rsidRPr="00537110" w14:paraId="7B79AE2E" w14:textId="77777777" w:rsidTr="00003686">
        <w:tc>
          <w:tcPr>
            <w:tcW w:w="5000" w:type="pct"/>
            <w:tcBorders>
              <w:top w:val="nil"/>
              <w:left w:val="nil"/>
              <w:bottom w:val="nil"/>
              <w:right w:val="nil"/>
            </w:tcBorders>
            <w:tcMar>
              <w:top w:w="60" w:type="dxa"/>
              <w:left w:w="60" w:type="dxa"/>
              <w:bottom w:w="60" w:type="dxa"/>
              <w:right w:w="60" w:type="dxa"/>
            </w:tcMar>
            <w:vAlign w:val="center"/>
          </w:tcPr>
          <w:p w14:paraId="4E06F1DE" w14:textId="77777777" w:rsidR="00537110" w:rsidRPr="00537110" w:rsidRDefault="00537110" w:rsidP="00537110">
            <w:pPr>
              <w:spacing w:before="100" w:beforeAutospacing="1" w:after="100" w:afterAutospacing="1" w:line="240" w:lineRule="auto"/>
              <w:jc w:val="both"/>
              <w:rPr>
                <w:rFonts w:ascii="Times New Roman" w:eastAsia="Times New Roman" w:hAnsi="Times New Roman" w:cs="Times New Roman"/>
                <w:i/>
                <w:color w:val="000000"/>
                <w:kern w:val="0"/>
                <w:sz w:val="18"/>
                <w:szCs w:val="18"/>
                <w:lang w:eastAsia="ru-RU"/>
                <w14:ligatures w14:val="none"/>
              </w:rPr>
            </w:pPr>
            <w:r w:rsidRPr="00537110">
              <w:rPr>
                <w:rFonts w:ascii="Times New Roman" w:eastAsia="Times New Roman" w:hAnsi="Times New Roman" w:cs="Times New Roman"/>
                <w:color w:val="000000"/>
                <w:kern w:val="0"/>
                <w:sz w:val="18"/>
                <w:szCs w:val="18"/>
                <w:lang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061C276E"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2694"/>
        <w:gridCol w:w="283"/>
        <w:gridCol w:w="2391"/>
        <w:gridCol w:w="183"/>
        <w:gridCol w:w="4210"/>
      </w:tblGrid>
      <w:tr w:rsidR="00537110" w:rsidRPr="00537110" w14:paraId="2DF9C5C2" w14:textId="77777777" w:rsidTr="0001562E">
        <w:tc>
          <w:tcPr>
            <w:tcW w:w="2694" w:type="dxa"/>
            <w:tcMar>
              <w:top w:w="60" w:type="dxa"/>
              <w:left w:w="60" w:type="dxa"/>
              <w:bottom w:w="60" w:type="dxa"/>
              <w:right w:w="60" w:type="dxa"/>
            </w:tcMar>
            <w:vAlign w:val="center"/>
          </w:tcPr>
          <w:p w14:paraId="01215F3C"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en-US" w:eastAsia="ru-RU"/>
                <w14:ligatures w14:val="none"/>
              </w:rPr>
            </w:pPr>
            <w:r w:rsidRPr="00537110">
              <w:rPr>
                <w:rFonts w:ascii="Times New Roman" w:eastAsia="Times New Roman" w:hAnsi="Times New Roman" w:cs="Times New Roman"/>
                <w:color w:val="000000"/>
                <w:kern w:val="0"/>
                <w:sz w:val="24"/>
                <w:szCs w:val="24"/>
                <w:lang w:val="en-US" w:eastAsia="ru-RU"/>
                <w14:ligatures w14:val="none"/>
              </w:rPr>
              <w:t>Голова правлiння</w:t>
            </w:r>
          </w:p>
        </w:tc>
        <w:tc>
          <w:tcPr>
            <w:tcW w:w="283" w:type="dxa"/>
            <w:tcMar>
              <w:top w:w="60" w:type="dxa"/>
              <w:left w:w="60" w:type="dxa"/>
              <w:bottom w:w="60" w:type="dxa"/>
              <w:right w:w="60" w:type="dxa"/>
            </w:tcMar>
            <w:vAlign w:val="center"/>
          </w:tcPr>
          <w:p w14:paraId="784F4414"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537110">
              <w:rPr>
                <w:rFonts w:ascii="Times New Roman" w:eastAsia="Times New Roman" w:hAnsi="Times New Roman" w:cs="Times New Roman"/>
                <w:color w:val="000000"/>
                <w:kern w:val="0"/>
                <w:sz w:val="24"/>
                <w:szCs w:val="24"/>
                <w:lang w:val="ru-RU" w:eastAsia="ru-RU"/>
                <w14:ligatures w14:val="none"/>
              </w:rPr>
              <w:t> </w:t>
            </w:r>
          </w:p>
        </w:tc>
        <w:tc>
          <w:tcPr>
            <w:tcW w:w="2391" w:type="dxa"/>
            <w:tcMar>
              <w:top w:w="60" w:type="dxa"/>
              <w:left w:w="60" w:type="dxa"/>
              <w:bottom w:w="60" w:type="dxa"/>
              <w:right w:w="60" w:type="dxa"/>
            </w:tcMar>
            <w:vAlign w:val="center"/>
          </w:tcPr>
          <w:p w14:paraId="13F3B7D1"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537110">
              <w:rPr>
                <w:rFonts w:ascii="Times New Roman" w:eastAsia="Times New Roman" w:hAnsi="Times New Roman" w:cs="Times New Roman"/>
                <w:color w:val="000000"/>
                <w:kern w:val="0"/>
                <w:sz w:val="24"/>
                <w:szCs w:val="24"/>
                <w:lang w:val="ru-RU" w:eastAsia="ru-RU"/>
                <w14:ligatures w14:val="none"/>
              </w:rPr>
              <w:t> </w:t>
            </w:r>
          </w:p>
        </w:tc>
        <w:tc>
          <w:tcPr>
            <w:tcW w:w="183" w:type="dxa"/>
            <w:tcMar>
              <w:top w:w="60" w:type="dxa"/>
              <w:left w:w="60" w:type="dxa"/>
              <w:bottom w:w="60" w:type="dxa"/>
              <w:right w:w="60" w:type="dxa"/>
            </w:tcMar>
            <w:vAlign w:val="center"/>
          </w:tcPr>
          <w:p w14:paraId="07DF9862"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537110">
              <w:rPr>
                <w:rFonts w:ascii="Times New Roman" w:eastAsia="Times New Roman" w:hAnsi="Times New Roman" w:cs="Times New Roman"/>
                <w:color w:val="000000"/>
                <w:kern w:val="0"/>
                <w:sz w:val="24"/>
                <w:szCs w:val="24"/>
                <w:lang w:val="ru-RU" w:eastAsia="ru-RU"/>
                <w14:ligatures w14:val="none"/>
              </w:rPr>
              <w:t> </w:t>
            </w:r>
          </w:p>
        </w:tc>
        <w:tc>
          <w:tcPr>
            <w:tcW w:w="4210" w:type="dxa"/>
            <w:tcMar>
              <w:top w:w="60" w:type="dxa"/>
              <w:left w:w="60" w:type="dxa"/>
              <w:bottom w:w="60" w:type="dxa"/>
              <w:right w:w="60" w:type="dxa"/>
            </w:tcMar>
            <w:vAlign w:val="bottom"/>
          </w:tcPr>
          <w:p w14:paraId="27E597B5" w14:textId="77777777" w:rsidR="00537110" w:rsidRPr="00537110" w:rsidRDefault="00537110" w:rsidP="00537110">
            <w:pPr>
              <w:spacing w:after="0" w:line="240" w:lineRule="auto"/>
              <w:ind w:left="1280" w:hanging="591"/>
              <w:jc w:val="center"/>
              <w:rPr>
                <w:rFonts w:ascii="Times New Roman" w:eastAsia="Times New Roman" w:hAnsi="Times New Roman" w:cs="Times New Roman"/>
                <w:color w:val="000000"/>
                <w:kern w:val="0"/>
                <w:sz w:val="24"/>
                <w:szCs w:val="24"/>
                <w:lang w:val="en-US" w:eastAsia="ru-RU"/>
                <w14:ligatures w14:val="none"/>
              </w:rPr>
            </w:pPr>
            <w:r w:rsidRPr="00537110">
              <w:rPr>
                <w:rFonts w:ascii="Times New Roman" w:eastAsia="Times New Roman" w:hAnsi="Times New Roman" w:cs="Times New Roman"/>
                <w:color w:val="000000"/>
                <w:kern w:val="0"/>
                <w:sz w:val="24"/>
                <w:szCs w:val="24"/>
                <w:lang w:val="en-US" w:eastAsia="ru-RU"/>
                <w14:ligatures w14:val="none"/>
              </w:rPr>
              <w:t>Круць Микола Федорович</w:t>
            </w:r>
          </w:p>
        </w:tc>
      </w:tr>
      <w:tr w:rsidR="00537110" w:rsidRPr="00537110" w14:paraId="06DFAC83" w14:textId="77777777" w:rsidTr="0001562E">
        <w:tc>
          <w:tcPr>
            <w:tcW w:w="2694" w:type="dxa"/>
            <w:tcMar>
              <w:top w:w="60" w:type="dxa"/>
              <w:left w:w="60" w:type="dxa"/>
              <w:bottom w:w="60" w:type="dxa"/>
              <w:right w:w="60" w:type="dxa"/>
            </w:tcMar>
            <w:vAlign w:val="center"/>
          </w:tcPr>
          <w:p w14:paraId="6224767F"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537110">
              <w:rPr>
                <w:rFonts w:ascii="Times New Roman" w:eastAsia="Times New Roman" w:hAnsi="Times New Roman" w:cs="Times New Roman"/>
                <w:color w:val="000000"/>
                <w:kern w:val="0"/>
                <w:sz w:val="20"/>
                <w:szCs w:val="20"/>
                <w:lang w:val="ru-RU" w:eastAsia="ru-RU"/>
                <w14:ligatures w14:val="none"/>
              </w:rPr>
              <w:t>(посада)</w:t>
            </w:r>
          </w:p>
        </w:tc>
        <w:tc>
          <w:tcPr>
            <w:tcW w:w="283" w:type="dxa"/>
            <w:tcMar>
              <w:top w:w="60" w:type="dxa"/>
              <w:left w:w="60" w:type="dxa"/>
              <w:bottom w:w="60" w:type="dxa"/>
              <w:right w:w="60" w:type="dxa"/>
            </w:tcMar>
            <w:vAlign w:val="center"/>
          </w:tcPr>
          <w:p w14:paraId="2BE2C9DE"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537110">
              <w:rPr>
                <w:rFonts w:ascii="Times New Roman" w:eastAsia="Times New Roman" w:hAnsi="Times New Roman" w:cs="Times New Roman"/>
                <w:color w:val="000000"/>
                <w:kern w:val="0"/>
                <w:sz w:val="24"/>
                <w:szCs w:val="24"/>
                <w:lang w:val="ru-RU" w:eastAsia="ru-RU"/>
                <w14:ligatures w14:val="none"/>
              </w:rPr>
              <w:t> </w:t>
            </w:r>
          </w:p>
        </w:tc>
        <w:tc>
          <w:tcPr>
            <w:tcW w:w="2391" w:type="dxa"/>
            <w:tcMar>
              <w:top w:w="60" w:type="dxa"/>
              <w:left w:w="60" w:type="dxa"/>
              <w:bottom w:w="60" w:type="dxa"/>
              <w:right w:w="60" w:type="dxa"/>
            </w:tcMar>
            <w:vAlign w:val="center"/>
          </w:tcPr>
          <w:p w14:paraId="36671A6C"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537110">
              <w:rPr>
                <w:rFonts w:ascii="Times New Roman" w:eastAsia="Times New Roman" w:hAnsi="Times New Roman" w:cs="Times New Roman"/>
                <w:color w:val="000000"/>
                <w:kern w:val="0"/>
                <w:sz w:val="20"/>
                <w:szCs w:val="20"/>
                <w:lang w:val="ru-RU" w:eastAsia="ru-RU"/>
                <w14:ligatures w14:val="none"/>
              </w:rPr>
              <w:t>(підпис)</w:t>
            </w:r>
          </w:p>
        </w:tc>
        <w:tc>
          <w:tcPr>
            <w:tcW w:w="183" w:type="dxa"/>
            <w:tcMar>
              <w:top w:w="60" w:type="dxa"/>
              <w:left w:w="60" w:type="dxa"/>
              <w:bottom w:w="60" w:type="dxa"/>
              <w:right w:w="60" w:type="dxa"/>
            </w:tcMar>
            <w:vAlign w:val="center"/>
          </w:tcPr>
          <w:p w14:paraId="2C6D73BB"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537110">
              <w:rPr>
                <w:rFonts w:ascii="Times New Roman" w:eastAsia="Times New Roman" w:hAnsi="Times New Roman" w:cs="Times New Roman"/>
                <w:color w:val="000000"/>
                <w:kern w:val="0"/>
                <w:sz w:val="24"/>
                <w:szCs w:val="24"/>
                <w:lang w:val="ru-RU" w:eastAsia="ru-RU"/>
                <w14:ligatures w14:val="none"/>
              </w:rPr>
              <w:t> </w:t>
            </w:r>
          </w:p>
        </w:tc>
        <w:tc>
          <w:tcPr>
            <w:tcW w:w="4210" w:type="dxa"/>
            <w:tcMar>
              <w:top w:w="60" w:type="dxa"/>
              <w:left w:w="60" w:type="dxa"/>
              <w:bottom w:w="60" w:type="dxa"/>
              <w:right w:w="60" w:type="dxa"/>
            </w:tcMar>
            <w:vAlign w:val="center"/>
          </w:tcPr>
          <w:p w14:paraId="7DFDA63F"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537110">
              <w:rPr>
                <w:rFonts w:ascii="Times New Roman" w:eastAsia="Times New Roman" w:hAnsi="Times New Roman" w:cs="Times New Roman"/>
                <w:color w:val="000000"/>
                <w:kern w:val="0"/>
                <w:sz w:val="20"/>
                <w:szCs w:val="20"/>
                <w:lang w:val="ru-RU" w:eastAsia="ru-RU"/>
                <w14:ligatures w14:val="none"/>
              </w:rPr>
              <w:t>(прізвище та ініціали керівника або уповноваженої особи емітента)</w:t>
            </w:r>
          </w:p>
        </w:tc>
      </w:tr>
      <w:tr w:rsidR="00537110" w:rsidRPr="00537110" w14:paraId="1623A6A8" w14:textId="77777777" w:rsidTr="0001562E">
        <w:tc>
          <w:tcPr>
            <w:tcW w:w="5551" w:type="dxa"/>
            <w:gridSpan w:val="4"/>
            <w:vMerge w:val="restart"/>
            <w:tcMar>
              <w:top w:w="300" w:type="dxa"/>
              <w:left w:w="60" w:type="dxa"/>
              <w:bottom w:w="60" w:type="dxa"/>
              <w:right w:w="60" w:type="dxa"/>
            </w:tcMar>
            <w:vAlign w:val="center"/>
          </w:tcPr>
          <w:p w14:paraId="4DE9C72D"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210" w:type="dxa"/>
            <w:tcMar>
              <w:top w:w="60" w:type="dxa"/>
              <w:left w:w="60" w:type="dxa"/>
              <w:bottom w:w="60" w:type="dxa"/>
              <w:right w:w="60" w:type="dxa"/>
            </w:tcMar>
            <w:vAlign w:val="center"/>
          </w:tcPr>
          <w:p w14:paraId="1C8ADBEC"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537110" w:rsidRPr="00537110" w14:paraId="4A2E7E2B" w14:textId="77777777" w:rsidTr="0001562E">
        <w:tc>
          <w:tcPr>
            <w:tcW w:w="5551" w:type="dxa"/>
            <w:gridSpan w:val="4"/>
            <w:vMerge/>
            <w:vAlign w:val="center"/>
          </w:tcPr>
          <w:p w14:paraId="70BD3E2A" w14:textId="77777777" w:rsidR="00537110" w:rsidRPr="00537110" w:rsidRDefault="00537110" w:rsidP="00537110">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210" w:type="dxa"/>
            <w:tcMar>
              <w:top w:w="60" w:type="dxa"/>
              <w:left w:w="60" w:type="dxa"/>
              <w:bottom w:w="60" w:type="dxa"/>
              <w:right w:w="60" w:type="dxa"/>
            </w:tcMar>
            <w:vAlign w:val="center"/>
          </w:tcPr>
          <w:p w14:paraId="2706C7DF" w14:textId="77777777" w:rsidR="00537110" w:rsidRPr="00537110" w:rsidRDefault="00537110" w:rsidP="00537110">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537110" w:rsidRPr="00537110" w14:paraId="6153D2D7" w14:textId="77777777" w:rsidTr="0001562E">
        <w:tc>
          <w:tcPr>
            <w:tcW w:w="9761" w:type="dxa"/>
            <w:gridSpan w:val="5"/>
            <w:tcMar>
              <w:top w:w="60" w:type="dxa"/>
              <w:left w:w="60" w:type="dxa"/>
              <w:bottom w:w="60" w:type="dxa"/>
              <w:right w:w="60" w:type="dxa"/>
            </w:tcMar>
            <w:vAlign w:val="center"/>
          </w:tcPr>
          <w:p w14:paraId="74AB0E63" w14:textId="77777777" w:rsidR="00537110" w:rsidRPr="00537110" w:rsidRDefault="00537110" w:rsidP="00537110">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ru-RU"/>
                <w14:ligatures w14:val="none"/>
              </w:rPr>
            </w:pPr>
            <w:r w:rsidRPr="00537110">
              <w:rPr>
                <w:rFonts w:ascii="Times New Roman" w:eastAsia="Times New Roman" w:hAnsi="Times New Roman" w:cs="Times New Roman"/>
                <w:b/>
                <w:bCs/>
                <w:color w:val="000000"/>
                <w:kern w:val="0"/>
                <w:sz w:val="24"/>
                <w:szCs w:val="24"/>
                <w:lang w:eastAsia="ru-RU"/>
                <w14:ligatures w14:val="none"/>
              </w:rPr>
              <w:t>Проміжна</w:t>
            </w:r>
            <w:r w:rsidRPr="00537110">
              <w:rPr>
                <w:rFonts w:ascii="Times New Roman" w:eastAsia="Times New Roman" w:hAnsi="Times New Roman" w:cs="Times New Roman"/>
                <w:b/>
                <w:bCs/>
                <w:color w:val="000000"/>
                <w:kern w:val="0"/>
                <w:sz w:val="24"/>
                <w:szCs w:val="24"/>
                <w:lang w:val="ru-RU" w:eastAsia="ru-RU"/>
                <w14:ligatures w14:val="none"/>
              </w:rPr>
              <w:t xml:space="preserve"> інформація емітента цінних паперів</w:t>
            </w:r>
            <w:r w:rsidRPr="00537110">
              <w:rPr>
                <w:rFonts w:ascii="Times New Roman" w:eastAsia="Times New Roman" w:hAnsi="Times New Roman" w:cs="Times New Roman"/>
                <w:b/>
                <w:bCs/>
                <w:color w:val="000000"/>
                <w:kern w:val="0"/>
                <w:sz w:val="24"/>
                <w:szCs w:val="24"/>
                <w:lang w:val="ru-RU" w:eastAsia="ru-RU"/>
                <w14:ligatures w14:val="none"/>
              </w:rPr>
              <w:br/>
              <w:t>за</w:t>
            </w:r>
            <w:r w:rsidRPr="00537110">
              <w:rPr>
                <w:rFonts w:ascii="Times New Roman" w:eastAsia="Times New Roman" w:hAnsi="Times New Roman" w:cs="Times New Roman"/>
                <w:b/>
                <w:bCs/>
                <w:color w:val="000000"/>
                <w:kern w:val="0"/>
                <w:sz w:val="24"/>
                <w:szCs w:val="24"/>
                <w:lang w:eastAsia="ru-RU"/>
                <w14:ligatures w14:val="none"/>
              </w:rPr>
              <w:t xml:space="preserve"> 4 квартал </w:t>
            </w:r>
            <w:r w:rsidRPr="00537110">
              <w:rPr>
                <w:rFonts w:ascii="Times New Roman" w:eastAsia="Times New Roman" w:hAnsi="Times New Roman" w:cs="Times New Roman"/>
                <w:b/>
                <w:bCs/>
                <w:color w:val="000000"/>
                <w:kern w:val="0"/>
                <w:sz w:val="24"/>
                <w:szCs w:val="24"/>
                <w:lang w:val="ru-RU" w:eastAsia="ru-RU"/>
                <w14:ligatures w14:val="none"/>
              </w:rPr>
              <w:t xml:space="preserve"> 2023 р</w:t>
            </w:r>
            <w:r w:rsidRPr="00537110">
              <w:rPr>
                <w:rFonts w:ascii="Times New Roman" w:eastAsia="Times New Roman" w:hAnsi="Times New Roman" w:cs="Times New Roman"/>
                <w:b/>
                <w:bCs/>
                <w:color w:val="000000"/>
                <w:kern w:val="0"/>
                <w:sz w:val="24"/>
                <w:szCs w:val="24"/>
                <w:lang w:eastAsia="ru-RU"/>
                <w14:ligatures w14:val="none"/>
              </w:rPr>
              <w:t>о</w:t>
            </w:r>
            <w:r w:rsidRPr="00537110">
              <w:rPr>
                <w:rFonts w:ascii="Times New Roman" w:eastAsia="Times New Roman" w:hAnsi="Times New Roman" w:cs="Times New Roman"/>
                <w:b/>
                <w:bCs/>
                <w:color w:val="000000"/>
                <w:kern w:val="0"/>
                <w:sz w:val="24"/>
                <w:szCs w:val="24"/>
                <w:lang w:val="ru-RU" w:eastAsia="ru-RU"/>
                <w14:ligatures w14:val="none"/>
              </w:rPr>
              <w:t>к</w:t>
            </w:r>
            <w:r w:rsidRPr="00537110">
              <w:rPr>
                <w:rFonts w:ascii="Times New Roman" w:eastAsia="Times New Roman" w:hAnsi="Times New Roman" w:cs="Times New Roman"/>
                <w:b/>
                <w:bCs/>
                <w:color w:val="000000"/>
                <w:kern w:val="0"/>
                <w:sz w:val="24"/>
                <w:szCs w:val="24"/>
                <w:lang w:eastAsia="ru-RU"/>
                <w14:ligatures w14:val="none"/>
              </w:rPr>
              <w:t>у</w:t>
            </w:r>
          </w:p>
        </w:tc>
      </w:tr>
    </w:tbl>
    <w:p w14:paraId="67CC6B14"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5246"/>
        <w:gridCol w:w="4515"/>
      </w:tblGrid>
      <w:tr w:rsidR="00537110" w:rsidRPr="00537110" w14:paraId="0C47F5CD" w14:textId="77777777" w:rsidTr="00003686">
        <w:tc>
          <w:tcPr>
            <w:tcW w:w="5000" w:type="pct"/>
            <w:gridSpan w:val="2"/>
            <w:tcMar>
              <w:top w:w="60" w:type="dxa"/>
              <w:left w:w="60" w:type="dxa"/>
              <w:bottom w:w="60" w:type="dxa"/>
              <w:right w:w="60" w:type="dxa"/>
            </w:tcMar>
            <w:vAlign w:val="center"/>
          </w:tcPr>
          <w:p w14:paraId="2834CA77" w14:textId="77777777" w:rsidR="00537110" w:rsidRPr="00537110" w:rsidRDefault="00537110" w:rsidP="00537110">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537110">
              <w:rPr>
                <w:rFonts w:ascii="Times New Roman" w:eastAsia="Times New Roman" w:hAnsi="Times New Roman" w:cs="Times New Roman"/>
                <w:b/>
                <w:bCs/>
                <w:color w:val="000000"/>
                <w:kern w:val="0"/>
                <w:sz w:val="20"/>
                <w:szCs w:val="20"/>
                <w:lang w:val="en-US" w:eastAsia="ru-RU"/>
                <w14:ligatures w14:val="none"/>
              </w:rPr>
              <w:t>I</w:t>
            </w:r>
            <w:r w:rsidRPr="00537110">
              <w:rPr>
                <w:rFonts w:ascii="Times New Roman" w:eastAsia="Times New Roman" w:hAnsi="Times New Roman" w:cs="Times New Roman"/>
                <w:b/>
                <w:bCs/>
                <w:color w:val="000000"/>
                <w:kern w:val="0"/>
                <w:sz w:val="20"/>
                <w:szCs w:val="20"/>
                <w:lang w:val="ru-RU" w:eastAsia="ru-RU"/>
                <w14:ligatures w14:val="none"/>
              </w:rPr>
              <w:t>. Загальні відомості</w:t>
            </w:r>
          </w:p>
        </w:tc>
      </w:tr>
      <w:tr w:rsidR="00537110" w:rsidRPr="00537110" w14:paraId="1A3F9726" w14:textId="77777777" w:rsidTr="0001562E">
        <w:tc>
          <w:tcPr>
            <w:tcW w:w="2687" w:type="pct"/>
            <w:tcMar>
              <w:top w:w="60" w:type="dxa"/>
              <w:left w:w="60" w:type="dxa"/>
              <w:bottom w:w="60" w:type="dxa"/>
              <w:right w:w="60" w:type="dxa"/>
            </w:tcMar>
            <w:vAlign w:val="center"/>
          </w:tcPr>
          <w:p w14:paraId="3FAD6049" w14:textId="77777777" w:rsidR="00537110" w:rsidRPr="00537110" w:rsidRDefault="00537110" w:rsidP="00537110">
            <w:pPr>
              <w:spacing w:after="0" w:line="240" w:lineRule="auto"/>
              <w:rPr>
                <w:rFonts w:ascii="Times New Roman" w:eastAsia="Times New Roman" w:hAnsi="Times New Roman" w:cs="Times New Roman"/>
                <w:b/>
                <w:color w:val="000000"/>
                <w:kern w:val="0"/>
                <w:sz w:val="20"/>
                <w:szCs w:val="20"/>
                <w:lang w:eastAsia="ru-RU"/>
                <w14:ligatures w14:val="none"/>
              </w:rPr>
            </w:pPr>
            <w:r w:rsidRPr="00537110">
              <w:rPr>
                <w:rFonts w:ascii="Times New Roman" w:eastAsia="Times New Roman" w:hAnsi="Times New Roman" w:cs="Times New Roman"/>
                <w:b/>
                <w:color w:val="000000"/>
                <w:kern w:val="0"/>
                <w:sz w:val="20"/>
                <w:szCs w:val="20"/>
                <w:lang w:val="ru-RU" w:eastAsia="ru-RU"/>
                <w14:ligatures w14:val="none"/>
              </w:rPr>
              <w:t>1. Повне найменування емітента</w:t>
            </w:r>
            <w:r w:rsidRPr="00537110">
              <w:rPr>
                <w:rFonts w:ascii="Times New Roman" w:eastAsia="Times New Roman" w:hAnsi="Times New Roman" w:cs="Times New Roman"/>
                <w:b/>
                <w:color w:val="000000"/>
                <w:kern w:val="0"/>
                <w:sz w:val="20"/>
                <w:szCs w:val="20"/>
                <w:lang w:eastAsia="ru-RU"/>
                <w14:ligatures w14:val="none"/>
              </w:rPr>
              <w:t>.</w:t>
            </w:r>
          </w:p>
        </w:tc>
        <w:tc>
          <w:tcPr>
            <w:tcW w:w="2313" w:type="pct"/>
            <w:vAlign w:val="center"/>
          </w:tcPr>
          <w:p w14:paraId="7953ADCD"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ru-RU" w:eastAsia="ru-RU"/>
                <w14:ligatures w14:val="none"/>
              </w:rPr>
            </w:pPr>
            <w:r w:rsidRPr="00537110">
              <w:rPr>
                <w:rFonts w:ascii="Times New Roman" w:eastAsia="Times New Roman" w:hAnsi="Times New Roman" w:cs="Times New Roman"/>
                <w:kern w:val="0"/>
                <w:sz w:val="20"/>
                <w:szCs w:val="20"/>
                <w:lang w:val="ru-RU" w:eastAsia="ru-RU"/>
                <w14:ligatures w14:val="none"/>
              </w:rPr>
              <w:t>Приватне акцiонерне товариство "Iвано-Франкiвськцемент"</w:t>
            </w:r>
          </w:p>
        </w:tc>
      </w:tr>
      <w:tr w:rsidR="00537110" w:rsidRPr="00537110" w14:paraId="21941AC8" w14:textId="77777777" w:rsidTr="0001562E">
        <w:tc>
          <w:tcPr>
            <w:tcW w:w="2687" w:type="pct"/>
            <w:tcMar>
              <w:top w:w="60" w:type="dxa"/>
              <w:left w:w="60" w:type="dxa"/>
              <w:bottom w:w="60" w:type="dxa"/>
              <w:right w:w="60" w:type="dxa"/>
            </w:tcMar>
            <w:vAlign w:val="center"/>
          </w:tcPr>
          <w:p w14:paraId="14964215" w14:textId="77777777" w:rsidR="00537110" w:rsidRPr="00537110" w:rsidRDefault="00537110" w:rsidP="00537110">
            <w:pPr>
              <w:spacing w:after="0" w:line="240" w:lineRule="auto"/>
              <w:rPr>
                <w:rFonts w:ascii="Times New Roman" w:eastAsia="Times New Roman" w:hAnsi="Times New Roman" w:cs="Times New Roman"/>
                <w:b/>
                <w:color w:val="000000"/>
                <w:kern w:val="0"/>
                <w:sz w:val="20"/>
                <w:szCs w:val="20"/>
                <w:lang w:eastAsia="ru-RU"/>
                <w14:ligatures w14:val="none"/>
              </w:rPr>
            </w:pPr>
            <w:r w:rsidRPr="00537110">
              <w:rPr>
                <w:rFonts w:ascii="Times New Roman" w:eastAsia="Times New Roman" w:hAnsi="Times New Roman" w:cs="Times New Roman"/>
                <w:b/>
                <w:color w:val="000000"/>
                <w:kern w:val="0"/>
                <w:sz w:val="20"/>
                <w:szCs w:val="20"/>
                <w:lang w:val="ru-RU" w:eastAsia="ru-RU"/>
                <w14:ligatures w14:val="none"/>
              </w:rPr>
              <w:t xml:space="preserve">2. Організаційно-правова форма </w:t>
            </w:r>
            <w:r w:rsidRPr="00537110">
              <w:rPr>
                <w:rFonts w:ascii="Times New Roman" w:eastAsia="Times New Roman" w:hAnsi="Times New Roman" w:cs="Times New Roman"/>
                <w:b/>
                <w:color w:val="000000"/>
                <w:kern w:val="0"/>
                <w:sz w:val="20"/>
                <w:szCs w:val="20"/>
                <w:lang w:eastAsia="ru-RU"/>
                <w14:ligatures w14:val="none"/>
              </w:rPr>
              <w:t>.</w:t>
            </w:r>
          </w:p>
        </w:tc>
        <w:tc>
          <w:tcPr>
            <w:tcW w:w="2313" w:type="pct"/>
            <w:vAlign w:val="center"/>
          </w:tcPr>
          <w:p w14:paraId="6371D8B9"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ru-RU" w:eastAsia="ru-RU"/>
                <w14:ligatures w14:val="none"/>
              </w:rPr>
            </w:pPr>
            <w:r w:rsidRPr="00537110">
              <w:rPr>
                <w:rFonts w:ascii="Times New Roman" w:eastAsia="Times New Roman" w:hAnsi="Times New Roman" w:cs="Times New Roman"/>
                <w:kern w:val="0"/>
                <w:sz w:val="20"/>
                <w:szCs w:val="20"/>
                <w:lang w:val="ru-RU" w:eastAsia="ru-RU"/>
                <w14:ligatures w14:val="none"/>
              </w:rPr>
              <w:t>Приватне акцiонерне товариство</w:t>
            </w:r>
          </w:p>
        </w:tc>
      </w:tr>
      <w:tr w:rsidR="00537110" w:rsidRPr="00537110" w14:paraId="06309D6B" w14:textId="77777777" w:rsidTr="0001562E">
        <w:tc>
          <w:tcPr>
            <w:tcW w:w="2687" w:type="pct"/>
            <w:tcMar>
              <w:top w:w="60" w:type="dxa"/>
              <w:left w:w="60" w:type="dxa"/>
              <w:bottom w:w="60" w:type="dxa"/>
              <w:right w:w="60" w:type="dxa"/>
            </w:tcMar>
            <w:vAlign w:val="center"/>
          </w:tcPr>
          <w:p w14:paraId="49D441DF" w14:textId="77777777" w:rsidR="00537110" w:rsidRPr="00537110" w:rsidRDefault="00537110" w:rsidP="00537110">
            <w:pPr>
              <w:spacing w:after="0" w:line="240" w:lineRule="auto"/>
              <w:rPr>
                <w:rFonts w:ascii="Times New Roman" w:eastAsia="Times New Roman" w:hAnsi="Times New Roman" w:cs="Times New Roman"/>
                <w:b/>
                <w:color w:val="000000"/>
                <w:kern w:val="0"/>
                <w:sz w:val="20"/>
                <w:szCs w:val="20"/>
                <w:lang w:eastAsia="ru-RU"/>
                <w14:ligatures w14:val="none"/>
              </w:rPr>
            </w:pPr>
            <w:r w:rsidRPr="00537110">
              <w:rPr>
                <w:rFonts w:ascii="Times New Roman" w:eastAsia="Times New Roman" w:hAnsi="Times New Roman" w:cs="Times New Roman"/>
                <w:b/>
                <w:color w:val="000000"/>
                <w:kern w:val="0"/>
                <w:sz w:val="20"/>
                <w:szCs w:val="20"/>
                <w:lang w:val="ru-RU" w:eastAsia="ru-RU"/>
                <w14:ligatures w14:val="none"/>
              </w:rPr>
              <w:t xml:space="preserve">3. </w:t>
            </w:r>
            <w:r w:rsidRPr="00537110">
              <w:rPr>
                <w:rFonts w:ascii="Times New Roman" w:eastAsia="Times New Roman" w:hAnsi="Times New Roman" w:cs="Times New Roman"/>
                <w:b/>
                <w:kern w:val="0"/>
                <w:sz w:val="20"/>
                <w:szCs w:val="20"/>
                <w:lang w:val="ru-RU" w:eastAsia="ru-RU"/>
                <w14:ligatures w14:val="none"/>
              </w:rPr>
              <w:t>Ідентифікаційний код юридичної особи</w:t>
            </w:r>
            <w:r w:rsidRPr="00537110">
              <w:rPr>
                <w:rFonts w:ascii="Times New Roman" w:eastAsia="Times New Roman" w:hAnsi="Times New Roman" w:cs="Times New Roman"/>
                <w:b/>
                <w:kern w:val="0"/>
                <w:sz w:val="20"/>
                <w:szCs w:val="20"/>
                <w:lang w:eastAsia="ru-RU"/>
                <w14:ligatures w14:val="none"/>
              </w:rPr>
              <w:t>.</w:t>
            </w:r>
          </w:p>
        </w:tc>
        <w:tc>
          <w:tcPr>
            <w:tcW w:w="2313" w:type="pct"/>
            <w:vAlign w:val="center"/>
          </w:tcPr>
          <w:p w14:paraId="6EEFF25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00292988</w:t>
            </w:r>
          </w:p>
        </w:tc>
      </w:tr>
      <w:tr w:rsidR="00537110" w:rsidRPr="00537110" w14:paraId="5D1050A2" w14:textId="77777777" w:rsidTr="0001562E">
        <w:tc>
          <w:tcPr>
            <w:tcW w:w="2687" w:type="pct"/>
            <w:tcMar>
              <w:top w:w="60" w:type="dxa"/>
              <w:left w:w="60" w:type="dxa"/>
              <w:bottom w:w="60" w:type="dxa"/>
              <w:right w:w="60" w:type="dxa"/>
            </w:tcMar>
            <w:vAlign w:val="center"/>
          </w:tcPr>
          <w:p w14:paraId="1213D323" w14:textId="77777777" w:rsidR="00537110" w:rsidRPr="00537110" w:rsidRDefault="00537110" w:rsidP="00537110">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537110">
              <w:rPr>
                <w:rFonts w:ascii="Times New Roman" w:eastAsia="Times New Roman" w:hAnsi="Times New Roman" w:cs="Times New Roman"/>
                <w:b/>
                <w:color w:val="000000"/>
                <w:kern w:val="0"/>
                <w:sz w:val="20"/>
                <w:szCs w:val="20"/>
                <w:lang w:val="ru-RU" w:eastAsia="ru-RU"/>
                <w14:ligatures w14:val="none"/>
              </w:rPr>
              <w:t>4. Місцезнаходження</w:t>
            </w:r>
            <w:r w:rsidRPr="00537110">
              <w:rPr>
                <w:rFonts w:ascii="Times New Roman" w:eastAsia="Times New Roman" w:hAnsi="Times New Roman" w:cs="Times New Roman"/>
                <w:b/>
                <w:color w:val="000000"/>
                <w:kern w:val="0"/>
                <w:sz w:val="20"/>
                <w:szCs w:val="20"/>
                <w:lang w:eastAsia="ru-RU"/>
                <w14:ligatures w14:val="none"/>
              </w:rPr>
              <w:t>.</w:t>
            </w:r>
            <w:r w:rsidRPr="00537110">
              <w:rPr>
                <w:rFonts w:ascii="Times New Roman" w:eastAsia="Times New Roman" w:hAnsi="Times New Roman" w:cs="Times New Roman"/>
                <w:b/>
                <w:color w:val="000000"/>
                <w:kern w:val="0"/>
                <w:sz w:val="20"/>
                <w:szCs w:val="20"/>
                <w:lang w:val="ru-RU" w:eastAsia="ru-RU"/>
                <w14:ligatures w14:val="none"/>
              </w:rPr>
              <w:t xml:space="preserve"> </w:t>
            </w:r>
          </w:p>
        </w:tc>
        <w:tc>
          <w:tcPr>
            <w:tcW w:w="2313" w:type="pct"/>
            <w:vAlign w:val="center"/>
          </w:tcPr>
          <w:p w14:paraId="1D97A136"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ru-RU" w:eastAsia="ru-RU"/>
                <w14:ligatures w14:val="none"/>
              </w:rPr>
            </w:pPr>
            <w:r w:rsidRPr="00537110">
              <w:rPr>
                <w:rFonts w:ascii="Times New Roman" w:eastAsia="Times New Roman" w:hAnsi="Times New Roman" w:cs="Times New Roman"/>
                <w:kern w:val="0"/>
                <w:sz w:val="20"/>
                <w:szCs w:val="20"/>
                <w:lang w:eastAsia="ru-RU"/>
                <w14:ligatures w14:val="none"/>
              </w:rPr>
              <w:t>77422  Тисменицький с. Ямниця</w:t>
            </w:r>
          </w:p>
        </w:tc>
      </w:tr>
      <w:tr w:rsidR="00537110" w:rsidRPr="00537110" w14:paraId="63951B2F" w14:textId="77777777" w:rsidTr="0001562E">
        <w:tc>
          <w:tcPr>
            <w:tcW w:w="2687" w:type="pct"/>
            <w:tcMar>
              <w:top w:w="60" w:type="dxa"/>
              <w:left w:w="60" w:type="dxa"/>
              <w:bottom w:w="60" w:type="dxa"/>
              <w:right w:w="60" w:type="dxa"/>
            </w:tcMar>
            <w:vAlign w:val="center"/>
          </w:tcPr>
          <w:p w14:paraId="55F243A5" w14:textId="77777777" w:rsidR="00537110" w:rsidRPr="00537110" w:rsidRDefault="00537110" w:rsidP="00537110">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537110">
              <w:rPr>
                <w:rFonts w:ascii="Times New Roman" w:eastAsia="Times New Roman" w:hAnsi="Times New Roman" w:cs="Times New Roman"/>
                <w:b/>
                <w:color w:val="000000"/>
                <w:kern w:val="0"/>
                <w:sz w:val="20"/>
                <w:szCs w:val="20"/>
                <w:lang w:val="ru-RU" w:eastAsia="ru-RU"/>
                <w14:ligatures w14:val="none"/>
              </w:rPr>
              <w:t>5. Міжміський код, телефон та факс</w:t>
            </w:r>
            <w:r w:rsidRPr="00537110">
              <w:rPr>
                <w:rFonts w:ascii="Times New Roman" w:eastAsia="Times New Roman" w:hAnsi="Times New Roman" w:cs="Times New Roman"/>
                <w:b/>
                <w:color w:val="000000"/>
                <w:kern w:val="0"/>
                <w:sz w:val="20"/>
                <w:szCs w:val="20"/>
                <w:lang w:eastAsia="ru-RU"/>
                <w14:ligatures w14:val="none"/>
              </w:rPr>
              <w:t>.</w:t>
            </w:r>
            <w:r w:rsidRPr="00537110">
              <w:rPr>
                <w:rFonts w:ascii="Times New Roman" w:eastAsia="Times New Roman" w:hAnsi="Times New Roman" w:cs="Times New Roman"/>
                <w:b/>
                <w:color w:val="000000"/>
                <w:kern w:val="0"/>
                <w:sz w:val="20"/>
                <w:szCs w:val="20"/>
                <w:lang w:val="ru-RU" w:eastAsia="ru-RU"/>
                <w14:ligatures w14:val="none"/>
              </w:rPr>
              <w:t xml:space="preserve"> </w:t>
            </w:r>
          </w:p>
        </w:tc>
        <w:tc>
          <w:tcPr>
            <w:tcW w:w="2313" w:type="pct"/>
            <w:vAlign w:val="center"/>
          </w:tcPr>
          <w:p w14:paraId="4A1A0741"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ru-RU" w:eastAsia="ru-RU"/>
                <w14:ligatures w14:val="none"/>
              </w:rPr>
            </w:pPr>
            <w:r w:rsidRPr="00537110">
              <w:rPr>
                <w:rFonts w:ascii="Times New Roman" w:eastAsia="Times New Roman" w:hAnsi="Times New Roman" w:cs="Times New Roman"/>
                <w:kern w:val="0"/>
                <w:sz w:val="20"/>
                <w:szCs w:val="20"/>
                <w:lang w:val="ru-RU" w:eastAsia="ru-RU"/>
                <w14:ligatures w14:val="none"/>
              </w:rPr>
              <w:t>(0342) 583712 (0342) 583764</w:t>
            </w:r>
          </w:p>
        </w:tc>
      </w:tr>
      <w:tr w:rsidR="00537110" w:rsidRPr="00537110" w14:paraId="60B32432" w14:textId="77777777" w:rsidTr="0001562E">
        <w:tc>
          <w:tcPr>
            <w:tcW w:w="2687" w:type="pct"/>
            <w:tcMar>
              <w:top w:w="60" w:type="dxa"/>
              <w:left w:w="60" w:type="dxa"/>
              <w:bottom w:w="60" w:type="dxa"/>
              <w:right w:w="60" w:type="dxa"/>
            </w:tcMar>
            <w:vAlign w:val="center"/>
          </w:tcPr>
          <w:p w14:paraId="6A40BA5B" w14:textId="77777777" w:rsidR="00537110" w:rsidRPr="00537110" w:rsidRDefault="00537110" w:rsidP="00537110">
            <w:pPr>
              <w:spacing w:after="0" w:line="240" w:lineRule="auto"/>
              <w:rPr>
                <w:rFonts w:ascii="Times New Roman" w:eastAsia="Times New Roman" w:hAnsi="Times New Roman" w:cs="Times New Roman"/>
                <w:b/>
                <w:color w:val="000000"/>
                <w:kern w:val="0"/>
                <w:sz w:val="20"/>
                <w:szCs w:val="20"/>
                <w:lang w:eastAsia="ru-RU"/>
                <w14:ligatures w14:val="none"/>
              </w:rPr>
            </w:pPr>
            <w:r w:rsidRPr="00537110">
              <w:rPr>
                <w:rFonts w:ascii="Times New Roman" w:eastAsia="Times New Roman" w:hAnsi="Times New Roman" w:cs="Times New Roman"/>
                <w:b/>
                <w:color w:val="000000"/>
                <w:kern w:val="0"/>
                <w:sz w:val="20"/>
                <w:szCs w:val="20"/>
                <w:lang w:eastAsia="ru-RU"/>
                <w14:ligatures w14:val="none"/>
              </w:rPr>
              <w:t xml:space="preserve">6. </w:t>
            </w:r>
            <w:r w:rsidRPr="00537110">
              <w:rPr>
                <w:rFonts w:ascii="Times New Roman" w:eastAsia="Times New Roman" w:hAnsi="Times New Roman" w:cs="Times New Roman"/>
                <w:b/>
                <w:kern w:val="0"/>
                <w:sz w:val="20"/>
                <w:szCs w:val="20"/>
                <w:lang w:val="ru-RU" w:eastAsia="ru-RU"/>
                <w14:ligatures w14:val="none"/>
              </w:rPr>
              <w:t>Адреса електронної пошти</w:t>
            </w:r>
            <w:r w:rsidRPr="00537110">
              <w:rPr>
                <w:rFonts w:ascii="Times New Roman" w:eastAsia="Times New Roman" w:hAnsi="Times New Roman" w:cs="Times New Roman"/>
                <w:b/>
                <w:kern w:val="0"/>
                <w:sz w:val="20"/>
                <w:szCs w:val="20"/>
                <w:lang w:eastAsia="ru-RU"/>
                <w14:ligatures w14:val="none"/>
              </w:rPr>
              <w:t>.</w:t>
            </w:r>
          </w:p>
        </w:tc>
        <w:tc>
          <w:tcPr>
            <w:tcW w:w="2313" w:type="pct"/>
            <w:vAlign w:val="center"/>
          </w:tcPr>
          <w:p w14:paraId="503A1E8F"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ru-RU" w:eastAsia="ru-RU"/>
                <w14:ligatures w14:val="none"/>
              </w:rPr>
            </w:pPr>
            <w:r w:rsidRPr="00537110">
              <w:rPr>
                <w:rFonts w:ascii="Times New Roman" w:eastAsia="Times New Roman" w:hAnsi="Times New Roman" w:cs="Times New Roman"/>
                <w:kern w:val="0"/>
                <w:sz w:val="20"/>
                <w:szCs w:val="20"/>
                <w:lang w:val="ru-RU" w:eastAsia="ru-RU"/>
                <w14:ligatures w14:val="none"/>
              </w:rPr>
              <w:t>vorobets@ifcem.if.ua</w:t>
            </w:r>
          </w:p>
        </w:tc>
      </w:tr>
      <w:tr w:rsidR="00537110" w:rsidRPr="00537110" w14:paraId="6A188D33" w14:textId="77777777" w:rsidTr="0001562E">
        <w:tc>
          <w:tcPr>
            <w:tcW w:w="2687" w:type="pct"/>
            <w:tcMar>
              <w:top w:w="60" w:type="dxa"/>
              <w:left w:w="60" w:type="dxa"/>
              <w:bottom w:w="60" w:type="dxa"/>
              <w:right w:w="60" w:type="dxa"/>
            </w:tcMar>
            <w:vAlign w:val="center"/>
          </w:tcPr>
          <w:p w14:paraId="5380809C" w14:textId="77777777" w:rsidR="00537110" w:rsidRPr="00537110" w:rsidRDefault="00537110" w:rsidP="00537110">
            <w:pPr>
              <w:spacing w:before="100" w:beforeAutospacing="1" w:after="100" w:afterAutospacing="1" w:line="240" w:lineRule="auto"/>
              <w:jc w:val="both"/>
              <w:rPr>
                <w:rFonts w:ascii="Times New Roman" w:eastAsia="Times New Roman" w:hAnsi="Times New Roman" w:cs="Times New Roman"/>
                <w:b/>
                <w:color w:val="000000"/>
                <w:kern w:val="0"/>
                <w:sz w:val="20"/>
                <w:szCs w:val="20"/>
                <w:lang w:eastAsia="ru-RU"/>
                <w14:ligatures w14:val="none"/>
              </w:rPr>
            </w:pPr>
            <w:r w:rsidRPr="00537110">
              <w:rPr>
                <w:rFonts w:ascii="Times New Roman" w:eastAsia="Times New Roman" w:hAnsi="Times New Roman" w:cs="Times New Roman"/>
                <w:b/>
                <w:color w:val="000000"/>
                <w:kern w:val="0"/>
                <w:sz w:val="20"/>
                <w:szCs w:val="20"/>
                <w:lang w:val="ru-RU" w:eastAsia="ru-RU"/>
                <w14:ligatures w14:val="none"/>
              </w:rPr>
              <w:t>7</w:t>
            </w:r>
            <w:r w:rsidRPr="00537110">
              <w:rPr>
                <w:rFonts w:ascii="Times New Roman" w:eastAsia="Times New Roman" w:hAnsi="Times New Roman" w:cs="Times New Roman"/>
                <w:b/>
                <w:color w:val="000000"/>
                <w:kern w:val="0"/>
                <w:sz w:val="20"/>
                <w:szCs w:val="20"/>
                <w:lang w:eastAsia="ru-RU"/>
                <w14:ligatures w14:val="none"/>
              </w:rPr>
              <w:t xml:space="preserve">. </w:t>
            </w:r>
            <w:r w:rsidRPr="00537110">
              <w:rPr>
                <w:rFonts w:ascii="Times New Roman" w:eastAsia="Times New Roman" w:hAnsi="Times New Roman" w:cs="Times New Roman"/>
                <w:b/>
                <w:kern w:val="0"/>
                <w:sz w:val="20"/>
                <w:szCs w:val="20"/>
                <w:lang w:eastAsia="ru-RU"/>
                <w14:ligatures w14:val="none"/>
              </w:rPr>
              <w:t>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w:t>
            </w:r>
          </w:p>
        </w:tc>
        <w:tc>
          <w:tcPr>
            <w:tcW w:w="2313" w:type="pct"/>
            <w:vAlign w:val="center"/>
          </w:tcPr>
          <w:p w14:paraId="03D2B079"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Державна установа "Агентство з розвитку iнфраструктури фондового ринку України"</w:t>
            </w:r>
          </w:p>
          <w:p w14:paraId="44C8D697"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21676262</w:t>
            </w:r>
          </w:p>
          <w:p w14:paraId="67DD4761"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Україна</w:t>
            </w:r>
          </w:p>
          <w:p w14:paraId="2F083CFD"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DR/00001/APA</w:t>
            </w:r>
          </w:p>
        </w:tc>
      </w:tr>
      <w:tr w:rsidR="00537110" w:rsidRPr="00537110" w14:paraId="53038CBE" w14:textId="77777777" w:rsidTr="0001562E">
        <w:tc>
          <w:tcPr>
            <w:tcW w:w="2687" w:type="pct"/>
            <w:tcMar>
              <w:top w:w="60" w:type="dxa"/>
              <w:left w:w="60" w:type="dxa"/>
              <w:bottom w:w="60" w:type="dxa"/>
              <w:right w:w="60" w:type="dxa"/>
            </w:tcMar>
            <w:vAlign w:val="center"/>
          </w:tcPr>
          <w:p w14:paraId="4AEDCED2"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b/>
                <w:color w:val="000000"/>
                <w:kern w:val="0"/>
                <w:sz w:val="20"/>
                <w:szCs w:val="20"/>
                <w:lang w:val="ru-RU" w:eastAsia="ru-RU"/>
                <w14:ligatures w14:val="none"/>
              </w:rPr>
            </w:pPr>
            <w:r w:rsidRPr="00537110">
              <w:rPr>
                <w:rFonts w:ascii="Times New Roman" w:eastAsia="Times New Roman" w:hAnsi="Times New Roman" w:cs="Times New Roman"/>
                <w:b/>
                <w:kern w:val="0"/>
                <w:sz w:val="20"/>
                <w:szCs w:val="20"/>
                <w:lang w:val="ru-RU" w:eastAsia="ru-RU"/>
                <w14:ligatures w14:val="none"/>
              </w:rPr>
              <w:t>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2313" w:type="pct"/>
            <w:vAlign w:val="center"/>
          </w:tcPr>
          <w:p w14:paraId="20241A5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Державна установа "Агентство з розвитку iнфраструктури фондового ринку України"</w:t>
            </w:r>
          </w:p>
          <w:p w14:paraId="2413637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21676262</w:t>
            </w:r>
          </w:p>
          <w:p w14:paraId="16DB4FE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Україна</w:t>
            </w:r>
          </w:p>
          <w:p w14:paraId="769526EF"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DR/00002/ARM</w:t>
            </w:r>
          </w:p>
        </w:tc>
      </w:tr>
      <w:tr w:rsidR="00537110" w:rsidRPr="00537110" w14:paraId="5E3386EB" w14:textId="77777777" w:rsidTr="00003686">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4A3B40D8"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537110">
              <w:rPr>
                <w:rFonts w:ascii="Times New Roman" w:eastAsia="Times New Roman" w:hAnsi="Times New Roman" w:cs="Times New Roman"/>
                <w:b/>
                <w:bCs/>
                <w:kern w:val="0"/>
                <w:sz w:val="20"/>
                <w:szCs w:val="20"/>
                <w:lang w:val="en-US" w:eastAsia="ru-RU"/>
                <w14:ligatures w14:val="none"/>
              </w:rPr>
              <w:t>II</w:t>
            </w:r>
            <w:r w:rsidRPr="00537110">
              <w:rPr>
                <w:rFonts w:ascii="Times New Roman" w:eastAsia="Times New Roman" w:hAnsi="Times New Roman" w:cs="Times New Roman"/>
                <w:b/>
                <w:bCs/>
                <w:kern w:val="0"/>
                <w:sz w:val="20"/>
                <w:szCs w:val="20"/>
                <w:lang w:val="ru-RU" w:eastAsia="ru-RU"/>
                <w14:ligatures w14:val="none"/>
              </w:rPr>
              <w:t xml:space="preserve">. Дані про дату та місце оприлюднення </w:t>
            </w:r>
            <w:r w:rsidRPr="00537110">
              <w:rPr>
                <w:rFonts w:ascii="Times New Roman" w:eastAsia="Times New Roman" w:hAnsi="Times New Roman" w:cs="Times New Roman"/>
                <w:b/>
                <w:bCs/>
                <w:kern w:val="0"/>
                <w:sz w:val="20"/>
                <w:szCs w:val="20"/>
                <w:lang w:eastAsia="ru-RU"/>
                <w14:ligatures w14:val="none"/>
              </w:rPr>
              <w:t>проміжної</w:t>
            </w:r>
            <w:r w:rsidRPr="00537110">
              <w:rPr>
                <w:rFonts w:ascii="Times New Roman" w:eastAsia="Times New Roman" w:hAnsi="Times New Roman" w:cs="Times New Roman"/>
                <w:b/>
                <w:bCs/>
                <w:kern w:val="0"/>
                <w:sz w:val="20"/>
                <w:szCs w:val="20"/>
                <w:lang w:val="ru-RU" w:eastAsia="ru-RU"/>
                <w14:ligatures w14:val="none"/>
              </w:rPr>
              <w:t xml:space="preserve"> інформації</w:t>
            </w:r>
          </w:p>
        </w:tc>
      </w:tr>
    </w:tbl>
    <w:p w14:paraId="79CBC726"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0"/>
          <w:szCs w:val="20"/>
          <w:lang w:val="ru-RU" w:eastAsia="ru-RU"/>
          <w14:ligatures w14:val="none"/>
        </w:rPr>
      </w:pPr>
    </w:p>
    <w:p w14:paraId="19A3FE95"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0"/>
          <w:szCs w:val="20"/>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3774"/>
        <w:gridCol w:w="3409"/>
        <w:gridCol w:w="379"/>
        <w:gridCol w:w="2199"/>
      </w:tblGrid>
      <w:tr w:rsidR="00537110" w:rsidRPr="00537110" w14:paraId="0D2620B0" w14:textId="77777777" w:rsidTr="00003686">
        <w:tc>
          <w:tcPr>
            <w:tcW w:w="3712" w:type="dxa"/>
            <w:vMerge w:val="restart"/>
            <w:tcMar>
              <w:top w:w="60" w:type="dxa"/>
              <w:left w:w="60" w:type="dxa"/>
              <w:bottom w:w="60" w:type="dxa"/>
              <w:right w:w="60" w:type="dxa"/>
            </w:tcMar>
            <w:vAlign w:val="bottom"/>
          </w:tcPr>
          <w:p w14:paraId="436A64AF"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ru-RU" w:eastAsia="ru-RU"/>
                <w14:ligatures w14:val="none"/>
              </w:rPr>
            </w:pPr>
            <w:r w:rsidRPr="00537110">
              <w:rPr>
                <w:rFonts w:ascii="Times New Roman" w:eastAsia="Times New Roman" w:hAnsi="Times New Roman" w:cs="Times New Roman"/>
                <w:b/>
                <w:kern w:val="0"/>
                <w:sz w:val="20"/>
                <w:szCs w:val="20"/>
                <w:lang w:val="ru-RU" w:eastAsia="ru-RU"/>
                <w14:ligatures w14:val="none"/>
              </w:rPr>
              <w:t>Проміжну інформацію розміщено на власному</w:t>
            </w:r>
            <w:r w:rsidRPr="00537110">
              <w:rPr>
                <w:rFonts w:ascii="Times New Roman" w:eastAsia="Times New Roman" w:hAnsi="Times New Roman" w:cs="Times New Roman"/>
                <w:b/>
                <w:kern w:val="0"/>
                <w:sz w:val="20"/>
                <w:szCs w:val="20"/>
                <w:lang w:val="ru-RU" w:eastAsia="ru-RU"/>
                <w14:ligatures w14:val="none"/>
              </w:rPr>
              <w:br/>
              <w:t>веб-сайті учасника фондового ринку</w:t>
            </w:r>
          </w:p>
          <w:p w14:paraId="63A55D25"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val="ru-RU" w:eastAsia="ru-RU"/>
                <w14:ligatures w14:val="none"/>
              </w:rPr>
            </w:pPr>
            <w:r w:rsidRPr="00537110">
              <w:rPr>
                <w:rFonts w:ascii="Times New Roman" w:eastAsia="Times New Roman" w:hAnsi="Times New Roman" w:cs="Times New Roman"/>
                <w:b/>
                <w:bCs/>
                <w:kern w:val="0"/>
                <w:sz w:val="24"/>
                <w:szCs w:val="24"/>
                <w:lang w:val="ru-RU" w:eastAsia="ru-RU"/>
                <w14:ligatures w14:val="none"/>
              </w:rPr>
              <w:t> </w:t>
            </w:r>
          </w:p>
        </w:tc>
        <w:tc>
          <w:tcPr>
            <w:tcW w:w="3353" w:type="dxa"/>
            <w:tcMar>
              <w:top w:w="60" w:type="dxa"/>
              <w:left w:w="60" w:type="dxa"/>
              <w:bottom w:w="60" w:type="dxa"/>
              <w:right w:w="60" w:type="dxa"/>
            </w:tcMar>
            <w:vAlign w:val="bottom"/>
          </w:tcPr>
          <w:p w14:paraId="59F350E5"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http://www.ifcem.if.ua</w:t>
            </w:r>
          </w:p>
        </w:tc>
        <w:tc>
          <w:tcPr>
            <w:tcW w:w="373" w:type="dxa"/>
            <w:tcMar>
              <w:top w:w="60" w:type="dxa"/>
              <w:left w:w="60" w:type="dxa"/>
              <w:bottom w:w="60" w:type="dxa"/>
              <w:right w:w="60" w:type="dxa"/>
            </w:tcMar>
            <w:vAlign w:val="bottom"/>
          </w:tcPr>
          <w:p w14:paraId="66735614"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3" w:type="dxa"/>
            <w:tcMar>
              <w:top w:w="60" w:type="dxa"/>
              <w:left w:w="60" w:type="dxa"/>
              <w:bottom w:w="60" w:type="dxa"/>
              <w:right w:w="60" w:type="dxa"/>
            </w:tcMar>
            <w:vAlign w:val="bottom"/>
          </w:tcPr>
          <w:p w14:paraId="71BA24E4"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val="en-US" w:eastAsia="ru-RU"/>
                <w14:ligatures w14:val="none"/>
              </w:rPr>
            </w:pPr>
            <w:r w:rsidRPr="00537110">
              <w:rPr>
                <w:rFonts w:ascii="Times New Roman" w:eastAsia="Times New Roman" w:hAnsi="Times New Roman" w:cs="Times New Roman"/>
                <w:kern w:val="0"/>
                <w:sz w:val="20"/>
                <w:szCs w:val="20"/>
                <w:lang w:val="en-US" w:eastAsia="ru-RU"/>
                <w14:ligatures w14:val="none"/>
              </w:rPr>
              <w:t>30.01.2024</w:t>
            </w:r>
          </w:p>
        </w:tc>
      </w:tr>
      <w:tr w:rsidR="00537110" w:rsidRPr="00537110" w14:paraId="02F8050B" w14:textId="77777777" w:rsidTr="00003686">
        <w:tc>
          <w:tcPr>
            <w:tcW w:w="3712" w:type="dxa"/>
            <w:vMerge/>
            <w:tcMar>
              <w:top w:w="60" w:type="dxa"/>
              <w:left w:w="60" w:type="dxa"/>
              <w:bottom w:w="60" w:type="dxa"/>
              <w:right w:w="60" w:type="dxa"/>
            </w:tcMar>
            <w:vAlign w:val="center"/>
          </w:tcPr>
          <w:p w14:paraId="0AC0BC1C" w14:textId="77777777" w:rsidR="00537110" w:rsidRPr="00537110" w:rsidRDefault="00537110" w:rsidP="00537110">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3353" w:type="dxa"/>
            <w:tcMar>
              <w:top w:w="60" w:type="dxa"/>
              <w:left w:w="60" w:type="dxa"/>
              <w:bottom w:w="60" w:type="dxa"/>
              <w:right w:w="60" w:type="dxa"/>
            </w:tcMar>
            <w:vAlign w:val="center"/>
          </w:tcPr>
          <w:p w14:paraId="1EFD2C2E" w14:textId="77777777" w:rsidR="00537110" w:rsidRPr="00537110" w:rsidRDefault="00537110" w:rsidP="00537110">
            <w:pPr>
              <w:spacing w:after="0" w:line="240" w:lineRule="auto"/>
              <w:jc w:val="center"/>
              <w:rPr>
                <w:rFonts w:ascii="Times New Roman" w:eastAsia="Times New Roman" w:hAnsi="Times New Roman" w:cs="Times New Roman"/>
                <w:kern w:val="0"/>
                <w:sz w:val="24"/>
                <w:szCs w:val="24"/>
                <w:lang w:val="ru-RU" w:eastAsia="ru-RU"/>
                <w14:ligatures w14:val="none"/>
              </w:rPr>
            </w:pPr>
            <w:r w:rsidRPr="00537110">
              <w:rPr>
                <w:rFonts w:ascii="Times New Roman" w:eastAsia="Times New Roman" w:hAnsi="Times New Roman" w:cs="Times New Roman"/>
                <w:kern w:val="0"/>
                <w:sz w:val="20"/>
                <w:szCs w:val="20"/>
                <w:lang w:val="ru-RU" w:eastAsia="ru-RU"/>
                <w14:ligatures w14:val="none"/>
              </w:rPr>
              <w:t>(</w:t>
            </w:r>
            <w:r w:rsidRPr="00537110">
              <w:rPr>
                <w:rFonts w:ascii="Times New Roman" w:eastAsia="Times New Roman" w:hAnsi="Times New Roman" w:cs="Times New Roman"/>
                <w:kern w:val="0"/>
                <w:sz w:val="20"/>
                <w:szCs w:val="20"/>
                <w:lang w:val="en-US" w:eastAsia="ru-RU"/>
                <w14:ligatures w14:val="none"/>
              </w:rPr>
              <w:t>URL-</w:t>
            </w:r>
            <w:r w:rsidRPr="00537110">
              <w:rPr>
                <w:rFonts w:ascii="Times New Roman" w:eastAsia="Times New Roman" w:hAnsi="Times New Roman" w:cs="Times New Roman"/>
                <w:kern w:val="0"/>
                <w:sz w:val="20"/>
                <w:szCs w:val="20"/>
                <w:lang w:val="ru-RU" w:eastAsia="ru-RU"/>
                <w14:ligatures w14:val="none"/>
              </w:rPr>
              <w:t>адреса сторінки)</w:t>
            </w:r>
          </w:p>
        </w:tc>
        <w:tc>
          <w:tcPr>
            <w:tcW w:w="373" w:type="dxa"/>
            <w:tcMar>
              <w:top w:w="60" w:type="dxa"/>
              <w:left w:w="60" w:type="dxa"/>
              <w:bottom w:w="60" w:type="dxa"/>
              <w:right w:w="60" w:type="dxa"/>
            </w:tcMar>
            <w:vAlign w:val="center"/>
          </w:tcPr>
          <w:p w14:paraId="7194A86A" w14:textId="77777777" w:rsidR="00537110" w:rsidRPr="00537110" w:rsidRDefault="00537110" w:rsidP="00537110">
            <w:pPr>
              <w:spacing w:after="0" w:line="240" w:lineRule="auto"/>
              <w:jc w:val="center"/>
              <w:rPr>
                <w:rFonts w:ascii="Times New Roman" w:eastAsia="Times New Roman" w:hAnsi="Times New Roman" w:cs="Times New Roman"/>
                <w:kern w:val="0"/>
                <w:sz w:val="24"/>
                <w:szCs w:val="24"/>
                <w:lang w:val="ru-RU" w:eastAsia="ru-RU"/>
                <w14:ligatures w14:val="none"/>
              </w:rPr>
            </w:pPr>
          </w:p>
        </w:tc>
        <w:tc>
          <w:tcPr>
            <w:tcW w:w="2163" w:type="dxa"/>
            <w:tcMar>
              <w:top w:w="60" w:type="dxa"/>
              <w:left w:w="60" w:type="dxa"/>
              <w:bottom w:w="60" w:type="dxa"/>
              <w:right w:w="60" w:type="dxa"/>
            </w:tcMar>
            <w:vAlign w:val="center"/>
          </w:tcPr>
          <w:p w14:paraId="6F0DE430" w14:textId="77777777" w:rsidR="00537110" w:rsidRPr="00537110" w:rsidRDefault="00537110" w:rsidP="00537110">
            <w:pPr>
              <w:spacing w:after="0" w:line="240" w:lineRule="auto"/>
              <w:jc w:val="center"/>
              <w:rPr>
                <w:rFonts w:ascii="Times New Roman" w:eastAsia="Times New Roman" w:hAnsi="Times New Roman" w:cs="Times New Roman"/>
                <w:kern w:val="0"/>
                <w:sz w:val="24"/>
                <w:szCs w:val="24"/>
                <w:lang w:val="ru-RU" w:eastAsia="ru-RU"/>
                <w14:ligatures w14:val="none"/>
              </w:rPr>
            </w:pPr>
            <w:r w:rsidRPr="00537110">
              <w:rPr>
                <w:rFonts w:ascii="Times New Roman" w:eastAsia="Times New Roman" w:hAnsi="Times New Roman" w:cs="Times New Roman"/>
                <w:kern w:val="0"/>
                <w:sz w:val="20"/>
                <w:szCs w:val="20"/>
                <w:lang w:val="ru-RU" w:eastAsia="ru-RU"/>
                <w14:ligatures w14:val="none"/>
              </w:rPr>
              <w:t>(дата)</w:t>
            </w:r>
          </w:p>
        </w:tc>
      </w:tr>
    </w:tbl>
    <w:p w14:paraId="7FE6375B" w14:textId="77777777" w:rsidR="00537110" w:rsidRPr="00537110" w:rsidRDefault="00537110" w:rsidP="00537110">
      <w:pPr>
        <w:spacing w:after="0" w:line="240" w:lineRule="auto"/>
        <w:rPr>
          <w:rFonts w:ascii="Times New Roman" w:eastAsia="Times New Roman" w:hAnsi="Times New Roman" w:cs="Times New Roman"/>
          <w:kern w:val="0"/>
          <w:sz w:val="24"/>
          <w:szCs w:val="24"/>
          <w:lang w:val="ru-RU" w:eastAsia="ru-RU"/>
          <w14:ligatures w14:val="none"/>
        </w:rPr>
      </w:pPr>
    </w:p>
    <w:p w14:paraId="55E9B771" w14:textId="77777777" w:rsidR="00537110" w:rsidRDefault="00537110">
      <w:pPr>
        <w:sectPr w:rsidR="00537110" w:rsidSect="00FF69E1">
          <w:pgSz w:w="11906" w:h="16838"/>
          <w:pgMar w:top="363" w:right="567" w:bottom="363" w:left="1417" w:header="708" w:footer="708" w:gutter="0"/>
          <w:cols w:space="708"/>
          <w:docGrid w:linePitch="360"/>
        </w:sectPr>
      </w:pPr>
    </w:p>
    <w:p w14:paraId="022F4791" w14:textId="77777777" w:rsidR="00537110" w:rsidRPr="00537110" w:rsidRDefault="00537110" w:rsidP="00537110">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537110">
        <w:rPr>
          <w:rFonts w:ascii="Times New Roman" w:eastAsia="Times New Roman" w:hAnsi="Times New Roman" w:cs="Times New Roman"/>
          <w:b/>
          <w:bCs/>
          <w:color w:val="000000"/>
          <w:kern w:val="0"/>
          <w:sz w:val="28"/>
          <w:szCs w:val="28"/>
          <w:lang w:eastAsia="uk-UA"/>
          <w14:ligatures w14:val="none"/>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279"/>
        <w:gridCol w:w="1987"/>
      </w:tblGrid>
      <w:tr w:rsidR="00537110" w:rsidRPr="00537110" w14:paraId="28A67389" w14:textId="77777777" w:rsidTr="00003686">
        <w:tc>
          <w:tcPr>
            <w:tcW w:w="10266" w:type="dxa"/>
            <w:gridSpan w:val="2"/>
            <w:tcMar>
              <w:top w:w="60" w:type="dxa"/>
              <w:left w:w="60" w:type="dxa"/>
              <w:bottom w:w="60" w:type="dxa"/>
              <w:right w:w="60" w:type="dxa"/>
            </w:tcMar>
            <w:vAlign w:val="center"/>
          </w:tcPr>
          <w:p w14:paraId="6AD92D29" w14:textId="77777777" w:rsidR="00537110" w:rsidRPr="00537110" w:rsidRDefault="00537110" w:rsidP="00537110">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537110">
              <w:rPr>
                <w:rFonts w:ascii="Times New Roman" w:eastAsia="Times New Roman" w:hAnsi="Times New Roman" w:cs="Times New Roman"/>
                <w:color w:val="000000"/>
                <w:kern w:val="0"/>
                <w:sz w:val="20"/>
                <w:szCs w:val="20"/>
                <w:lang w:eastAsia="ru-RU"/>
                <w14:ligatures w14:val="none"/>
              </w:rPr>
              <w:t xml:space="preserve">Відмітьте (X), якщо відповідна інформація міститься у </w:t>
            </w:r>
            <w:r w:rsidRPr="00537110">
              <w:rPr>
                <w:rFonts w:ascii="Times New Roman" w:eastAsia="Times New Roman" w:hAnsi="Times New Roman" w:cs="Times New Roman"/>
                <w:kern w:val="0"/>
                <w:sz w:val="18"/>
                <w:szCs w:val="24"/>
                <w:lang w:eastAsia="ru-RU"/>
                <w14:ligatures w14:val="none"/>
              </w:rPr>
              <w:t>проміжній</w:t>
            </w:r>
            <w:r w:rsidRPr="00537110">
              <w:rPr>
                <w:rFonts w:ascii="Times New Roman" w:eastAsia="Times New Roman" w:hAnsi="Times New Roman" w:cs="Times New Roman"/>
                <w:color w:val="000000"/>
                <w:kern w:val="0"/>
                <w:sz w:val="20"/>
                <w:szCs w:val="20"/>
                <w:lang w:eastAsia="ru-RU"/>
                <w14:ligatures w14:val="none"/>
              </w:rPr>
              <w:t xml:space="preserve"> інформації</w:t>
            </w:r>
          </w:p>
        </w:tc>
      </w:tr>
      <w:tr w:rsidR="00537110" w:rsidRPr="00537110" w14:paraId="2A3B73D3" w14:textId="77777777" w:rsidTr="00003686">
        <w:tc>
          <w:tcPr>
            <w:tcW w:w="8279" w:type="dxa"/>
            <w:tcMar>
              <w:top w:w="60" w:type="dxa"/>
              <w:left w:w="60" w:type="dxa"/>
              <w:bottom w:w="60" w:type="dxa"/>
              <w:right w:w="60" w:type="dxa"/>
            </w:tcMar>
            <w:vAlign w:val="center"/>
          </w:tcPr>
          <w:p w14:paraId="14AB2012"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1. Основні відомості про емітента.</w:t>
            </w:r>
          </w:p>
        </w:tc>
        <w:tc>
          <w:tcPr>
            <w:tcW w:w="1987" w:type="dxa"/>
            <w:tcMar>
              <w:top w:w="60" w:type="dxa"/>
              <w:left w:w="60" w:type="dxa"/>
              <w:bottom w:w="60" w:type="dxa"/>
              <w:right w:w="60" w:type="dxa"/>
            </w:tcMar>
            <w:vAlign w:val="center"/>
          </w:tcPr>
          <w:p w14:paraId="03FA0917"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en-US" w:eastAsia="uk-UA"/>
                <w14:ligatures w14:val="none"/>
              </w:rPr>
            </w:pPr>
            <w:r w:rsidRPr="00537110">
              <w:rPr>
                <w:rFonts w:ascii="Times New Roman" w:eastAsia="Times New Roman" w:hAnsi="Times New Roman" w:cs="Times New Roman"/>
                <w:b/>
                <w:kern w:val="0"/>
                <w:sz w:val="24"/>
                <w:szCs w:val="24"/>
                <w:lang w:val="en-US" w:eastAsia="uk-UA"/>
                <w14:ligatures w14:val="none"/>
              </w:rPr>
              <w:t>X</w:t>
            </w:r>
          </w:p>
        </w:tc>
      </w:tr>
      <w:tr w:rsidR="00537110" w:rsidRPr="00537110" w14:paraId="2A215218" w14:textId="77777777" w:rsidTr="00003686">
        <w:tc>
          <w:tcPr>
            <w:tcW w:w="8279" w:type="dxa"/>
            <w:tcMar>
              <w:top w:w="60" w:type="dxa"/>
              <w:left w:w="60" w:type="dxa"/>
              <w:bottom w:w="60" w:type="dxa"/>
              <w:right w:w="60" w:type="dxa"/>
            </w:tcMar>
            <w:vAlign w:val="center"/>
          </w:tcPr>
          <w:p w14:paraId="45D72F88"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2. Інформація про одержані ліцензії на окремі види діяльності.</w:t>
            </w:r>
          </w:p>
        </w:tc>
        <w:tc>
          <w:tcPr>
            <w:tcW w:w="1987" w:type="dxa"/>
            <w:tcMar>
              <w:top w:w="60" w:type="dxa"/>
              <w:left w:w="60" w:type="dxa"/>
              <w:bottom w:w="60" w:type="dxa"/>
              <w:right w:w="60" w:type="dxa"/>
            </w:tcMar>
            <w:vAlign w:val="center"/>
          </w:tcPr>
          <w:p w14:paraId="6B4751FD"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en-US" w:eastAsia="uk-UA"/>
                <w14:ligatures w14:val="none"/>
              </w:rPr>
            </w:pPr>
            <w:r w:rsidRPr="00537110">
              <w:rPr>
                <w:rFonts w:ascii="Times New Roman" w:eastAsia="Times New Roman" w:hAnsi="Times New Roman" w:cs="Times New Roman"/>
                <w:b/>
                <w:kern w:val="0"/>
                <w:sz w:val="24"/>
                <w:szCs w:val="24"/>
                <w:lang w:val="en-US" w:eastAsia="uk-UA"/>
                <w14:ligatures w14:val="none"/>
              </w:rPr>
              <w:t>X</w:t>
            </w:r>
          </w:p>
        </w:tc>
      </w:tr>
      <w:tr w:rsidR="00537110" w:rsidRPr="00537110" w14:paraId="00D09996" w14:textId="77777777" w:rsidTr="00003686">
        <w:tc>
          <w:tcPr>
            <w:tcW w:w="8279" w:type="dxa"/>
            <w:tcMar>
              <w:top w:w="60" w:type="dxa"/>
              <w:left w:w="60" w:type="dxa"/>
              <w:bottom w:w="60" w:type="dxa"/>
              <w:right w:w="60" w:type="dxa"/>
            </w:tcMar>
            <w:vAlign w:val="center"/>
          </w:tcPr>
          <w:p w14:paraId="5B572DDF"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3. Інформація про посадових осіб емітента.</w:t>
            </w:r>
          </w:p>
        </w:tc>
        <w:tc>
          <w:tcPr>
            <w:tcW w:w="1987" w:type="dxa"/>
            <w:tcMar>
              <w:top w:w="60" w:type="dxa"/>
              <w:left w:w="60" w:type="dxa"/>
              <w:bottom w:w="60" w:type="dxa"/>
              <w:right w:w="60" w:type="dxa"/>
            </w:tcMar>
            <w:vAlign w:val="center"/>
          </w:tcPr>
          <w:p w14:paraId="3A87A4F8"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en-US" w:eastAsia="uk-UA"/>
                <w14:ligatures w14:val="none"/>
              </w:rPr>
            </w:pPr>
            <w:r w:rsidRPr="00537110">
              <w:rPr>
                <w:rFonts w:ascii="Times New Roman" w:eastAsia="Times New Roman" w:hAnsi="Times New Roman" w:cs="Times New Roman"/>
                <w:b/>
                <w:kern w:val="0"/>
                <w:sz w:val="24"/>
                <w:szCs w:val="24"/>
                <w:lang w:val="en-US" w:eastAsia="uk-UA"/>
                <w14:ligatures w14:val="none"/>
              </w:rPr>
              <w:t>X</w:t>
            </w:r>
          </w:p>
        </w:tc>
      </w:tr>
      <w:tr w:rsidR="00537110" w:rsidRPr="00537110" w14:paraId="077EDB32" w14:textId="77777777" w:rsidTr="00003686">
        <w:tc>
          <w:tcPr>
            <w:tcW w:w="8279" w:type="dxa"/>
            <w:tcMar>
              <w:top w:w="60" w:type="dxa"/>
              <w:left w:w="60" w:type="dxa"/>
              <w:bottom w:w="60" w:type="dxa"/>
              <w:right w:w="60" w:type="dxa"/>
            </w:tcMar>
          </w:tcPr>
          <w:p w14:paraId="5DA0BAA6"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4. Інформація про господарську та фінансову діяльність емітента:</w:t>
            </w:r>
          </w:p>
        </w:tc>
        <w:tc>
          <w:tcPr>
            <w:tcW w:w="1987" w:type="dxa"/>
            <w:tcMar>
              <w:top w:w="60" w:type="dxa"/>
              <w:left w:w="60" w:type="dxa"/>
              <w:bottom w:w="60" w:type="dxa"/>
              <w:right w:w="60" w:type="dxa"/>
            </w:tcMar>
            <w:vAlign w:val="center"/>
          </w:tcPr>
          <w:p w14:paraId="7A25641E"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537110" w:rsidRPr="00537110" w14:paraId="1979EAE6" w14:textId="77777777" w:rsidTr="00003686">
        <w:tc>
          <w:tcPr>
            <w:tcW w:w="8279" w:type="dxa"/>
            <w:tcMar>
              <w:top w:w="60" w:type="dxa"/>
              <w:left w:w="60" w:type="dxa"/>
              <w:bottom w:w="60" w:type="dxa"/>
              <w:right w:w="60" w:type="dxa"/>
            </w:tcMar>
            <w:vAlign w:val="center"/>
          </w:tcPr>
          <w:p w14:paraId="28ABD03A"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1) інформація про зобов'язання та забезпечення емітента;</w:t>
            </w:r>
          </w:p>
        </w:tc>
        <w:tc>
          <w:tcPr>
            <w:tcW w:w="1987" w:type="dxa"/>
            <w:tcMar>
              <w:top w:w="60" w:type="dxa"/>
              <w:left w:w="60" w:type="dxa"/>
              <w:bottom w:w="60" w:type="dxa"/>
              <w:right w:w="60" w:type="dxa"/>
            </w:tcMar>
            <w:vAlign w:val="center"/>
          </w:tcPr>
          <w:p w14:paraId="62600A59"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0C641973" w14:textId="77777777" w:rsidTr="00003686">
        <w:tc>
          <w:tcPr>
            <w:tcW w:w="8279" w:type="dxa"/>
            <w:tcMar>
              <w:top w:w="60" w:type="dxa"/>
              <w:left w:w="60" w:type="dxa"/>
              <w:bottom w:w="60" w:type="dxa"/>
              <w:right w:w="60" w:type="dxa"/>
            </w:tcMar>
            <w:vAlign w:val="center"/>
          </w:tcPr>
          <w:p w14:paraId="753548FA"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2) інформація про обсяги виробництва та реалізації основних видів продукції;</w:t>
            </w:r>
          </w:p>
        </w:tc>
        <w:tc>
          <w:tcPr>
            <w:tcW w:w="1987" w:type="dxa"/>
            <w:tcMar>
              <w:top w:w="60" w:type="dxa"/>
              <w:left w:w="60" w:type="dxa"/>
              <w:bottom w:w="60" w:type="dxa"/>
              <w:right w:w="60" w:type="dxa"/>
            </w:tcMar>
            <w:vAlign w:val="center"/>
          </w:tcPr>
          <w:p w14:paraId="183D8D58"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106451CB" w14:textId="77777777" w:rsidTr="00003686">
        <w:tc>
          <w:tcPr>
            <w:tcW w:w="8279" w:type="dxa"/>
            <w:tcMar>
              <w:top w:w="60" w:type="dxa"/>
              <w:left w:w="60" w:type="dxa"/>
              <w:bottom w:w="60" w:type="dxa"/>
              <w:right w:w="60" w:type="dxa"/>
            </w:tcMar>
            <w:vAlign w:val="center"/>
          </w:tcPr>
          <w:p w14:paraId="77311842"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val="ru-RU" w:eastAsia="uk-UA"/>
                <w14:ligatures w14:val="none"/>
              </w:rPr>
              <w:t>3</w:t>
            </w:r>
            <w:r w:rsidRPr="00537110">
              <w:rPr>
                <w:rFonts w:ascii="Times New Roman" w:eastAsia="Times New Roman" w:hAnsi="Times New Roman" w:cs="Times New Roman"/>
                <w:color w:val="000000"/>
                <w:kern w:val="0"/>
                <w:sz w:val="20"/>
                <w:szCs w:val="20"/>
                <w:lang w:eastAsia="uk-UA"/>
                <w14:ligatures w14:val="none"/>
              </w:rPr>
              <w:t>) інформація про собівартість реалізованої продукції;</w:t>
            </w:r>
          </w:p>
        </w:tc>
        <w:tc>
          <w:tcPr>
            <w:tcW w:w="1987" w:type="dxa"/>
            <w:tcMar>
              <w:top w:w="60" w:type="dxa"/>
              <w:left w:w="60" w:type="dxa"/>
              <w:bottom w:w="60" w:type="dxa"/>
              <w:right w:w="60" w:type="dxa"/>
            </w:tcMar>
            <w:vAlign w:val="center"/>
          </w:tcPr>
          <w:p w14:paraId="317C80C2"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1FFEB97B" w14:textId="77777777" w:rsidTr="00003686">
        <w:tc>
          <w:tcPr>
            <w:tcW w:w="8279" w:type="dxa"/>
            <w:tcMar>
              <w:top w:w="60" w:type="dxa"/>
              <w:left w:w="60" w:type="dxa"/>
              <w:bottom w:w="60" w:type="dxa"/>
              <w:right w:w="60" w:type="dxa"/>
            </w:tcMar>
            <w:vAlign w:val="center"/>
          </w:tcPr>
          <w:p w14:paraId="73A29EE0"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5. Відомості про цінні папери емітента:</w:t>
            </w:r>
          </w:p>
        </w:tc>
        <w:tc>
          <w:tcPr>
            <w:tcW w:w="1987" w:type="dxa"/>
            <w:tcMar>
              <w:top w:w="60" w:type="dxa"/>
              <w:left w:w="60" w:type="dxa"/>
              <w:bottom w:w="60" w:type="dxa"/>
              <w:right w:w="60" w:type="dxa"/>
            </w:tcMar>
            <w:vAlign w:val="center"/>
          </w:tcPr>
          <w:p w14:paraId="40B5F82D"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r w:rsidRPr="00537110">
              <w:rPr>
                <w:rFonts w:ascii="Times New Roman" w:eastAsia="Times New Roman" w:hAnsi="Times New Roman" w:cs="Times New Roman"/>
                <w:b/>
                <w:kern w:val="0"/>
                <w:sz w:val="24"/>
                <w:szCs w:val="24"/>
                <w:lang w:val="en-US" w:eastAsia="uk-UA"/>
                <w14:ligatures w14:val="none"/>
              </w:rPr>
              <w:t>X</w:t>
            </w:r>
          </w:p>
        </w:tc>
      </w:tr>
      <w:tr w:rsidR="00537110" w:rsidRPr="00537110" w14:paraId="005305AF" w14:textId="77777777" w:rsidTr="00003686">
        <w:tc>
          <w:tcPr>
            <w:tcW w:w="8279" w:type="dxa"/>
            <w:tcMar>
              <w:top w:w="60" w:type="dxa"/>
              <w:left w:w="60" w:type="dxa"/>
              <w:bottom w:w="60" w:type="dxa"/>
              <w:right w:w="60" w:type="dxa"/>
            </w:tcMar>
            <w:vAlign w:val="center"/>
          </w:tcPr>
          <w:p w14:paraId="0A1E6314"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1) інформація про випуски акцій емітента;</w:t>
            </w:r>
          </w:p>
        </w:tc>
        <w:tc>
          <w:tcPr>
            <w:tcW w:w="1987" w:type="dxa"/>
            <w:tcMar>
              <w:top w:w="60" w:type="dxa"/>
              <w:left w:w="60" w:type="dxa"/>
              <w:bottom w:w="60" w:type="dxa"/>
              <w:right w:w="60" w:type="dxa"/>
            </w:tcMar>
            <w:vAlign w:val="center"/>
          </w:tcPr>
          <w:p w14:paraId="4ACB9D01"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r w:rsidRPr="00537110">
              <w:rPr>
                <w:rFonts w:ascii="Times New Roman" w:eastAsia="Times New Roman" w:hAnsi="Times New Roman" w:cs="Times New Roman"/>
                <w:b/>
                <w:kern w:val="0"/>
                <w:sz w:val="24"/>
                <w:szCs w:val="24"/>
                <w:lang w:val="en-US" w:eastAsia="uk-UA"/>
                <w14:ligatures w14:val="none"/>
              </w:rPr>
              <w:t>X</w:t>
            </w:r>
          </w:p>
        </w:tc>
      </w:tr>
      <w:tr w:rsidR="00537110" w:rsidRPr="00537110" w14:paraId="21D65E77" w14:textId="77777777" w:rsidTr="00003686">
        <w:tc>
          <w:tcPr>
            <w:tcW w:w="8279" w:type="dxa"/>
            <w:tcMar>
              <w:top w:w="60" w:type="dxa"/>
              <w:left w:w="60" w:type="dxa"/>
              <w:bottom w:w="60" w:type="dxa"/>
              <w:right w:w="60" w:type="dxa"/>
            </w:tcMar>
            <w:vAlign w:val="center"/>
          </w:tcPr>
          <w:p w14:paraId="0C0DC7A5"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2) інформація про облігації емітента;</w:t>
            </w:r>
          </w:p>
        </w:tc>
        <w:tc>
          <w:tcPr>
            <w:tcW w:w="1987" w:type="dxa"/>
            <w:tcMar>
              <w:top w:w="60" w:type="dxa"/>
              <w:left w:w="60" w:type="dxa"/>
              <w:bottom w:w="60" w:type="dxa"/>
              <w:right w:w="60" w:type="dxa"/>
            </w:tcMar>
            <w:vAlign w:val="center"/>
          </w:tcPr>
          <w:p w14:paraId="07B0B9D9"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7370DFF3" w14:textId="77777777" w:rsidTr="00003686">
        <w:tc>
          <w:tcPr>
            <w:tcW w:w="8279" w:type="dxa"/>
            <w:tcMar>
              <w:top w:w="60" w:type="dxa"/>
              <w:left w:w="60" w:type="dxa"/>
              <w:bottom w:w="60" w:type="dxa"/>
              <w:right w:w="60" w:type="dxa"/>
            </w:tcMar>
            <w:vAlign w:val="center"/>
          </w:tcPr>
          <w:p w14:paraId="37F2BEFF"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3) інформація про інші цінні папери, випущені емітентом;</w:t>
            </w:r>
          </w:p>
        </w:tc>
        <w:tc>
          <w:tcPr>
            <w:tcW w:w="1987" w:type="dxa"/>
            <w:tcMar>
              <w:top w:w="60" w:type="dxa"/>
              <w:left w:w="60" w:type="dxa"/>
              <w:bottom w:w="60" w:type="dxa"/>
              <w:right w:w="60" w:type="dxa"/>
            </w:tcMar>
            <w:vAlign w:val="center"/>
          </w:tcPr>
          <w:p w14:paraId="7695FF52"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3E4D130B" w14:textId="77777777" w:rsidTr="00003686">
        <w:tc>
          <w:tcPr>
            <w:tcW w:w="8279" w:type="dxa"/>
            <w:tcMar>
              <w:top w:w="60" w:type="dxa"/>
              <w:left w:w="60" w:type="dxa"/>
              <w:bottom w:w="60" w:type="dxa"/>
              <w:right w:w="60" w:type="dxa"/>
            </w:tcMar>
            <w:vAlign w:val="center"/>
          </w:tcPr>
          <w:p w14:paraId="4C4C7486"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4) інформація про похідні цінні папери емітента;</w:t>
            </w:r>
          </w:p>
        </w:tc>
        <w:tc>
          <w:tcPr>
            <w:tcW w:w="1987" w:type="dxa"/>
            <w:tcMar>
              <w:top w:w="60" w:type="dxa"/>
              <w:left w:w="60" w:type="dxa"/>
              <w:bottom w:w="60" w:type="dxa"/>
              <w:right w:w="60" w:type="dxa"/>
            </w:tcMar>
            <w:vAlign w:val="center"/>
          </w:tcPr>
          <w:p w14:paraId="2C1F0D46"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614B0C73" w14:textId="77777777" w:rsidTr="00003686">
        <w:tc>
          <w:tcPr>
            <w:tcW w:w="8279" w:type="dxa"/>
            <w:tcMar>
              <w:top w:w="60" w:type="dxa"/>
              <w:left w:w="60" w:type="dxa"/>
              <w:bottom w:w="60" w:type="dxa"/>
              <w:right w:w="60" w:type="dxa"/>
            </w:tcMar>
            <w:vAlign w:val="center"/>
          </w:tcPr>
          <w:p w14:paraId="2DE053F4"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6. Відомості щодо участі емітента в юридичних особах.</w:t>
            </w:r>
          </w:p>
        </w:tc>
        <w:tc>
          <w:tcPr>
            <w:tcW w:w="1987" w:type="dxa"/>
            <w:tcMar>
              <w:top w:w="60" w:type="dxa"/>
              <w:left w:w="60" w:type="dxa"/>
              <w:bottom w:w="60" w:type="dxa"/>
              <w:right w:w="60" w:type="dxa"/>
            </w:tcMar>
            <w:vAlign w:val="center"/>
          </w:tcPr>
          <w:p w14:paraId="12019202"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r w:rsidRPr="00537110">
              <w:rPr>
                <w:rFonts w:ascii="Times New Roman" w:eastAsia="Times New Roman" w:hAnsi="Times New Roman" w:cs="Times New Roman"/>
                <w:b/>
                <w:kern w:val="0"/>
                <w:sz w:val="24"/>
                <w:szCs w:val="24"/>
                <w:lang w:val="en-US" w:eastAsia="uk-UA"/>
                <w14:ligatures w14:val="none"/>
              </w:rPr>
              <w:t>X</w:t>
            </w:r>
          </w:p>
        </w:tc>
      </w:tr>
      <w:tr w:rsidR="00537110" w:rsidRPr="00537110" w14:paraId="186A74B4" w14:textId="77777777" w:rsidTr="00003686">
        <w:tc>
          <w:tcPr>
            <w:tcW w:w="8279" w:type="dxa"/>
            <w:tcMar>
              <w:top w:w="60" w:type="dxa"/>
              <w:left w:w="60" w:type="dxa"/>
              <w:bottom w:w="60" w:type="dxa"/>
              <w:right w:w="60" w:type="dxa"/>
            </w:tcMar>
          </w:tcPr>
          <w:p w14:paraId="17297AAF" w14:textId="77777777" w:rsidR="00537110" w:rsidRPr="00537110" w:rsidRDefault="00537110" w:rsidP="00537110">
            <w:pPr>
              <w:spacing w:before="100" w:beforeAutospacing="1" w:after="100" w:afterAutospacing="1" w:line="240" w:lineRule="auto"/>
              <w:jc w:val="both"/>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7. Інформація щодо корпоративного секретаря.</w:t>
            </w:r>
          </w:p>
        </w:tc>
        <w:tc>
          <w:tcPr>
            <w:tcW w:w="1987" w:type="dxa"/>
            <w:tcMar>
              <w:top w:w="60" w:type="dxa"/>
              <w:left w:w="60" w:type="dxa"/>
              <w:bottom w:w="60" w:type="dxa"/>
              <w:right w:w="60" w:type="dxa"/>
            </w:tcMar>
            <w:vAlign w:val="center"/>
          </w:tcPr>
          <w:p w14:paraId="2D545C6C"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537110" w:rsidRPr="00537110" w14:paraId="4DE3CBF5" w14:textId="77777777" w:rsidTr="00003686">
        <w:tc>
          <w:tcPr>
            <w:tcW w:w="8279" w:type="dxa"/>
            <w:tcMar>
              <w:top w:w="60" w:type="dxa"/>
              <w:left w:w="60" w:type="dxa"/>
              <w:bottom w:w="60" w:type="dxa"/>
              <w:right w:w="60" w:type="dxa"/>
            </w:tcMar>
            <w:vAlign w:val="center"/>
          </w:tcPr>
          <w:p w14:paraId="470BCC39"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8. Інформація про вчинення значних правочинів.</w:t>
            </w:r>
          </w:p>
        </w:tc>
        <w:tc>
          <w:tcPr>
            <w:tcW w:w="1987" w:type="dxa"/>
            <w:tcMar>
              <w:top w:w="60" w:type="dxa"/>
              <w:left w:w="60" w:type="dxa"/>
              <w:bottom w:w="60" w:type="dxa"/>
              <w:right w:w="60" w:type="dxa"/>
            </w:tcMar>
            <w:vAlign w:val="center"/>
          </w:tcPr>
          <w:p w14:paraId="2AA66E57"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1CCF2655" w14:textId="77777777" w:rsidTr="00003686">
        <w:tc>
          <w:tcPr>
            <w:tcW w:w="8279" w:type="dxa"/>
            <w:tcMar>
              <w:top w:w="60" w:type="dxa"/>
              <w:left w:w="60" w:type="dxa"/>
              <w:bottom w:w="60" w:type="dxa"/>
              <w:right w:w="60" w:type="dxa"/>
            </w:tcMar>
            <w:vAlign w:val="center"/>
          </w:tcPr>
          <w:p w14:paraId="3714535E"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w:t>
            </w:r>
          </w:p>
        </w:tc>
        <w:tc>
          <w:tcPr>
            <w:tcW w:w="1987" w:type="dxa"/>
            <w:tcMar>
              <w:top w:w="60" w:type="dxa"/>
              <w:left w:w="60" w:type="dxa"/>
              <w:bottom w:w="60" w:type="dxa"/>
              <w:right w:w="60" w:type="dxa"/>
            </w:tcMar>
            <w:vAlign w:val="center"/>
          </w:tcPr>
          <w:p w14:paraId="21CEFD10"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2D62C894" w14:textId="77777777" w:rsidTr="00003686">
        <w:trPr>
          <w:trHeight w:val="274"/>
        </w:trPr>
        <w:tc>
          <w:tcPr>
            <w:tcW w:w="8279" w:type="dxa"/>
            <w:tcMar>
              <w:top w:w="60" w:type="dxa"/>
              <w:left w:w="60" w:type="dxa"/>
              <w:bottom w:w="60" w:type="dxa"/>
              <w:right w:w="60" w:type="dxa"/>
            </w:tcMar>
            <w:vAlign w:val="center"/>
          </w:tcPr>
          <w:p w14:paraId="51FE4459"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987" w:type="dxa"/>
            <w:tcMar>
              <w:top w:w="60" w:type="dxa"/>
              <w:left w:w="60" w:type="dxa"/>
              <w:bottom w:w="60" w:type="dxa"/>
              <w:right w:w="60" w:type="dxa"/>
            </w:tcMar>
            <w:vAlign w:val="center"/>
          </w:tcPr>
          <w:p w14:paraId="2290F063"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r w:rsidRPr="00537110">
              <w:rPr>
                <w:rFonts w:ascii="Times New Roman" w:eastAsia="Times New Roman" w:hAnsi="Times New Roman" w:cs="Times New Roman"/>
                <w:b/>
                <w:kern w:val="0"/>
                <w:sz w:val="24"/>
                <w:szCs w:val="24"/>
                <w:lang w:val="en-US" w:eastAsia="uk-UA"/>
                <w14:ligatures w14:val="none"/>
              </w:rPr>
              <w:t>X</w:t>
            </w:r>
          </w:p>
        </w:tc>
      </w:tr>
      <w:tr w:rsidR="00537110" w:rsidRPr="00537110" w14:paraId="18556BC5" w14:textId="77777777" w:rsidTr="00003686">
        <w:tc>
          <w:tcPr>
            <w:tcW w:w="8279" w:type="dxa"/>
            <w:tcMar>
              <w:top w:w="60" w:type="dxa"/>
              <w:left w:w="60" w:type="dxa"/>
              <w:bottom w:w="60" w:type="dxa"/>
              <w:right w:w="60" w:type="dxa"/>
            </w:tcMar>
          </w:tcPr>
          <w:p w14:paraId="41B59B99"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11. Інформація про забезпечення випуску боргових цінних паперів.</w:t>
            </w:r>
          </w:p>
        </w:tc>
        <w:tc>
          <w:tcPr>
            <w:tcW w:w="1987" w:type="dxa"/>
            <w:tcMar>
              <w:top w:w="60" w:type="dxa"/>
              <w:left w:w="60" w:type="dxa"/>
              <w:bottom w:w="60" w:type="dxa"/>
              <w:right w:w="60" w:type="dxa"/>
            </w:tcMar>
            <w:vAlign w:val="center"/>
          </w:tcPr>
          <w:p w14:paraId="6F1F2182"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2FC46744" w14:textId="77777777" w:rsidTr="00003686">
        <w:tc>
          <w:tcPr>
            <w:tcW w:w="8279" w:type="dxa"/>
            <w:tcMar>
              <w:top w:w="60" w:type="dxa"/>
              <w:left w:w="60" w:type="dxa"/>
              <w:bottom w:w="60" w:type="dxa"/>
              <w:right w:w="60" w:type="dxa"/>
            </w:tcMar>
          </w:tcPr>
          <w:p w14:paraId="20141BA4"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12. Інформація про конвертацію цінних паперів.</w:t>
            </w:r>
          </w:p>
        </w:tc>
        <w:tc>
          <w:tcPr>
            <w:tcW w:w="1987" w:type="dxa"/>
            <w:tcMar>
              <w:top w:w="60" w:type="dxa"/>
              <w:left w:w="60" w:type="dxa"/>
              <w:bottom w:w="60" w:type="dxa"/>
              <w:right w:w="60" w:type="dxa"/>
            </w:tcMar>
            <w:vAlign w:val="center"/>
          </w:tcPr>
          <w:p w14:paraId="3E752976"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537110" w:rsidRPr="00537110" w14:paraId="0744D6B3" w14:textId="77777777" w:rsidTr="00003686">
        <w:tc>
          <w:tcPr>
            <w:tcW w:w="8279" w:type="dxa"/>
            <w:tcMar>
              <w:top w:w="60" w:type="dxa"/>
              <w:left w:w="60" w:type="dxa"/>
              <w:bottom w:w="60" w:type="dxa"/>
              <w:right w:w="60" w:type="dxa"/>
            </w:tcMar>
          </w:tcPr>
          <w:p w14:paraId="1CBA558D"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13. Інформація про заміну управителя.</w:t>
            </w:r>
          </w:p>
        </w:tc>
        <w:tc>
          <w:tcPr>
            <w:tcW w:w="1987" w:type="dxa"/>
            <w:tcMar>
              <w:top w:w="60" w:type="dxa"/>
              <w:left w:w="60" w:type="dxa"/>
              <w:bottom w:w="60" w:type="dxa"/>
              <w:right w:w="60" w:type="dxa"/>
            </w:tcMar>
            <w:vAlign w:val="center"/>
          </w:tcPr>
          <w:p w14:paraId="3370BE64"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537110" w:rsidRPr="00537110" w14:paraId="513541A3" w14:textId="77777777" w:rsidTr="00003686">
        <w:tc>
          <w:tcPr>
            <w:tcW w:w="8279" w:type="dxa"/>
            <w:tcMar>
              <w:top w:w="60" w:type="dxa"/>
              <w:left w:w="60" w:type="dxa"/>
              <w:bottom w:w="60" w:type="dxa"/>
              <w:right w:w="60" w:type="dxa"/>
            </w:tcMar>
          </w:tcPr>
          <w:p w14:paraId="76ED58BB"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14. Інформація про керуючого іпотекою.</w:t>
            </w:r>
          </w:p>
        </w:tc>
        <w:tc>
          <w:tcPr>
            <w:tcW w:w="1987" w:type="dxa"/>
            <w:tcMar>
              <w:top w:w="60" w:type="dxa"/>
              <w:left w:w="60" w:type="dxa"/>
              <w:bottom w:w="60" w:type="dxa"/>
              <w:right w:w="60" w:type="dxa"/>
            </w:tcMar>
            <w:vAlign w:val="center"/>
          </w:tcPr>
          <w:p w14:paraId="0A71F79F"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537110" w:rsidRPr="00537110" w14:paraId="61DBAD2C" w14:textId="77777777" w:rsidTr="00003686">
        <w:tc>
          <w:tcPr>
            <w:tcW w:w="8279" w:type="dxa"/>
            <w:tcMar>
              <w:top w:w="60" w:type="dxa"/>
              <w:left w:w="60" w:type="dxa"/>
              <w:bottom w:w="60" w:type="dxa"/>
              <w:right w:w="60" w:type="dxa"/>
            </w:tcMar>
          </w:tcPr>
          <w:p w14:paraId="0323F0DF"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15. Інформація про трансформацію (перетворення) іпотечних активів.</w:t>
            </w:r>
          </w:p>
        </w:tc>
        <w:tc>
          <w:tcPr>
            <w:tcW w:w="1987" w:type="dxa"/>
            <w:tcMar>
              <w:top w:w="60" w:type="dxa"/>
              <w:left w:w="60" w:type="dxa"/>
              <w:bottom w:w="60" w:type="dxa"/>
              <w:right w:w="60" w:type="dxa"/>
            </w:tcMar>
            <w:vAlign w:val="center"/>
          </w:tcPr>
          <w:p w14:paraId="14DC48A5"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537110" w:rsidRPr="00537110" w14:paraId="4B540B66" w14:textId="77777777" w:rsidTr="00003686">
        <w:tc>
          <w:tcPr>
            <w:tcW w:w="8279" w:type="dxa"/>
            <w:tcMar>
              <w:top w:w="60" w:type="dxa"/>
              <w:left w:w="60" w:type="dxa"/>
              <w:bottom w:w="60" w:type="dxa"/>
              <w:right w:w="60" w:type="dxa"/>
            </w:tcMar>
          </w:tcPr>
          <w:p w14:paraId="438F498D"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 xml:space="preserve">16. Інформація про зміни в реєстрі забезпечення іпотечних сертифікатів за кожним консолідованим іпотечним боргом. </w:t>
            </w:r>
          </w:p>
        </w:tc>
        <w:tc>
          <w:tcPr>
            <w:tcW w:w="1987" w:type="dxa"/>
            <w:tcMar>
              <w:top w:w="60" w:type="dxa"/>
              <w:left w:w="60" w:type="dxa"/>
              <w:bottom w:w="60" w:type="dxa"/>
              <w:right w:w="60" w:type="dxa"/>
            </w:tcMar>
            <w:vAlign w:val="center"/>
          </w:tcPr>
          <w:p w14:paraId="6B057485"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537110" w:rsidRPr="00537110" w14:paraId="4396BD16" w14:textId="77777777" w:rsidTr="00003686">
        <w:tc>
          <w:tcPr>
            <w:tcW w:w="8279" w:type="dxa"/>
            <w:tcMar>
              <w:top w:w="60" w:type="dxa"/>
              <w:left w:w="60" w:type="dxa"/>
              <w:bottom w:w="60" w:type="dxa"/>
              <w:right w:w="60" w:type="dxa"/>
            </w:tcMar>
          </w:tcPr>
          <w:p w14:paraId="72463645"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17. Інформація про іпотечне покриття:</w:t>
            </w:r>
          </w:p>
        </w:tc>
        <w:tc>
          <w:tcPr>
            <w:tcW w:w="1987" w:type="dxa"/>
            <w:tcMar>
              <w:top w:w="60" w:type="dxa"/>
              <w:left w:w="60" w:type="dxa"/>
              <w:bottom w:w="60" w:type="dxa"/>
              <w:right w:w="60" w:type="dxa"/>
            </w:tcMar>
            <w:vAlign w:val="center"/>
          </w:tcPr>
          <w:p w14:paraId="0A9CFCB1"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537110" w:rsidRPr="00537110" w14:paraId="4B1338F7" w14:textId="77777777" w:rsidTr="00003686">
        <w:tc>
          <w:tcPr>
            <w:tcW w:w="8279" w:type="dxa"/>
            <w:tcMar>
              <w:top w:w="60" w:type="dxa"/>
              <w:left w:w="60" w:type="dxa"/>
              <w:bottom w:w="60" w:type="dxa"/>
              <w:right w:w="60" w:type="dxa"/>
            </w:tcMar>
            <w:vAlign w:val="center"/>
          </w:tcPr>
          <w:p w14:paraId="08E0C3F8"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1) інформація про заміну іпотечних активів у складі іпотечного покриття;</w:t>
            </w:r>
          </w:p>
        </w:tc>
        <w:tc>
          <w:tcPr>
            <w:tcW w:w="1987" w:type="dxa"/>
            <w:tcMar>
              <w:top w:w="60" w:type="dxa"/>
              <w:left w:w="60" w:type="dxa"/>
              <w:bottom w:w="60" w:type="dxa"/>
              <w:right w:w="60" w:type="dxa"/>
            </w:tcMar>
            <w:vAlign w:val="center"/>
          </w:tcPr>
          <w:p w14:paraId="31CAC5CE"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5539F6C3" w14:textId="77777777" w:rsidTr="00003686">
        <w:tc>
          <w:tcPr>
            <w:tcW w:w="8279" w:type="dxa"/>
            <w:tcMar>
              <w:top w:w="60" w:type="dxa"/>
              <w:left w:w="60" w:type="dxa"/>
              <w:bottom w:w="60" w:type="dxa"/>
              <w:right w:w="60" w:type="dxa"/>
            </w:tcMar>
            <w:vAlign w:val="center"/>
          </w:tcPr>
          <w:p w14:paraId="3B7D405C"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987" w:type="dxa"/>
            <w:tcMar>
              <w:top w:w="60" w:type="dxa"/>
              <w:left w:w="60" w:type="dxa"/>
              <w:bottom w:w="60" w:type="dxa"/>
              <w:right w:w="60" w:type="dxa"/>
            </w:tcMar>
            <w:vAlign w:val="center"/>
          </w:tcPr>
          <w:p w14:paraId="4F1AE116"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185F67B3" w14:textId="77777777" w:rsidTr="00003686">
        <w:tc>
          <w:tcPr>
            <w:tcW w:w="8279" w:type="dxa"/>
            <w:tcMar>
              <w:top w:w="60" w:type="dxa"/>
              <w:left w:w="60" w:type="dxa"/>
              <w:bottom w:w="60" w:type="dxa"/>
              <w:right w:w="60" w:type="dxa"/>
            </w:tcMar>
            <w:vAlign w:val="center"/>
          </w:tcPr>
          <w:p w14:paraId="2BBC74A7"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987" w:type="dxa"/>
            <w:tcMar>
              <w:top w:w="60" w:type="dxa"/>
              <w:left w:w="60" w:type="dxa"/>
              <w:bottom w:w="60" w:type="dxa"/>
              <w:right w:w="60" w:type="dxa"/>
            </w:tcMar>
            <w:vAlign w:val="center"/>
          </w:tcPr>
          <w:p w14:paraId="77D3EE07"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5B8CBBE9" w14:textId="77777777" w:rsidTr="00003686">
        <w:tc>
          <w:tcPr>
            <w:tcW w:w="8279" w:type="dxa"/>
            <w:tcMar>
              <w:top w:w="60" w:type="dxa"/>
              <w:left w:w="60" w:type="dxa"/>
              <w:bottom w:w="60" w:type="dxa"/>
              <w:right w:w="60" w:type="dxa"/>
            </w:tcMar>
            <w:vAlign w:val="center"/>
          </w:tcPr>
          <w:p w14:paraId="1F19F9E6"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987" w:type="dxa"/>
            <w:tcMar>
              <w:top w:w="60" w:type="dxa"/>
              <w:left w:w="60" w:type="dxa"/>
              <w:bottom w:w="60" w:type="dxa"/>
              <w:right w:w="60" w:type="dxa"/>
            </w:tcMar>
            <w:vAlign w:val="center"/>
          </w:tcPr>
          <w:p w14:paraId="4294A50D"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49268AF4" w14:textId="77777777" w:rsidTr="00003686">
        <w:tc>
          <w:tcPr>
            <w:tcW w:w="8279" w:type="dxa"/>
            <w:tcMar>
              <w:top w:w="60" w:type="dxa"/>
              <w:left w:w="60" w:type="dxa"/>
              <w:bottom w:w="60" w:type="dxa"/>
              <w:right w:w="60" w:type="dxa"/>
            </w:tcMar>
          </w:tcPr>
          <w:p w14:paraId="4111D1D4"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18. Інформація про заміну фінансової установи, яка здійснює обслуговування іпотечних активів.</w:t>
            </w:r>
          </w:p>
        </w:tc>
        <w:tc>
          <w:tcPr>
            <w:tcW w:w="1987" w:type="dxa"/>
            <w:tcMar>
              <w:top w:w="60" w:type="dxa"/>
              <w:left w:w="60" w:type="dxa"/>
              <w:bottom w:w="60" w:type="dxa"/>
              <w:right w:w="60" w:type="dxa"/>
            </w:tcMar>
            <w:vAlign w:val="center"/>
          </w:tcPr>
          <w:p w14:paraId="63AB9957"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1E9E07EA" w14:textId="77777777" w:rsidTr="00003686">
        <w:tc>
          <w:tcPr>
            <w:tcW w:w="8279" w:type="dxa"/>
            <w:tcMar>
              <w:top w:w="60" w:type="dxa"/>
              <w:left w:w="60" w:type="dxa"/>
              <w:bottom w:w="60" w:type="dxa"/>
              <w:right w:w="60" w:type="dxa"/>
            </w:tcMar>
          </w:tcPr>
          <w:p w14:paraId="66AD7F24"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987" w:type="dxa"/>
            <w:tcMar>
              <w:top w:w="60" w:type="dxa"/>
              <w:left w:w="60" w:type="dxa"/>
              <w:bottom w:w="60" w:type="dxa"/>
              <w:right w:w="60" w:type="dxa"/>
            </w:tcMar>
            <w:vAlign w:val="center"/>
          </w:tcPr>
          <w:p w14:paraId="28F37361"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3EB0D188" w14:textId="77777777" w:rsidTr="00003686">
        <w:tc>
          <w:tcPr>
            <w:tcW w:w="8279" w:type="dxa"/>
            <w:tcMar>
              <w:top w:w="60" w:type="dxa"/>
              <w:left w:w="60" w:type="dxa"/>
              <w:bottom w:w="60" w:type="dxa"/>
              <w:right w:w="60" w:type="dxa"/>
            </w:tcMar>
          </w:tcPr>
          <w:p w14:paraId="2FA24DE9"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lastRenderedPageBreak/>
              <w:t>20.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987" w:type="dxa"/>
            <w:tcMar>
              <w:top w:w="60" w:type="dxa"/>
              <w:left w:w="60" w:type="dxa"/>
              <w:bottom w:w="60" w:type="dxa"/>
              <w:right w:w="60" w:type="dxa"/>
            </w:tcMar>
            <w:vAlign w:val="center"/>
          </w:tcPr>
          <w:p w14:paraId="0093BC70"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3C9AE9FB" w14:textId="77777777" w:rsidTr="00003686">
        <w:tc>
          <w:tcPr>
            <w:tcW w:w="8279" w:type="dxa"/>
            <w:tcMar>
              <w:top w:w="60" w:type="dxa"/>
              <w:left w:w="60" w:type="dxa"/>
              <w:bottom w:w="60" w:type="dxa"/>
              <w:right w:w="60" w:type="dxa"/>
            </w:tcMar>
          </w:tcPr>
          <w:p w14:paraId="206314C4"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21. Проміжна фінансова звітність емітента, складена за положеннями (стандартами) бухгалтерського обліку.</w:t>
            </w:r>
          </w:p>
        </w:tc>
        <w:tc>
          <w:tcPr>
            <w:tcW w:w="1987" w:type="dxa"/>
            <w:tcMar>
              <w:top w:w="60" w:type="dxa"/>
              <w:left w:w="60" w:type="dxa"/>
              <w:bottom w:w="60" w:type="dxa"/>
              <w:right w:w="60" w:type="dxa"/>
            </w:tcMar>
            <w:vAlign w:val="center"/>
          </w:tcPr>
          <w:p w14:paraId="142077A6"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72CD3F1C" w14:textId="77777777" w:rsidTr="00003686">
        <w:tc>
          <w:tcPr>
            <w:tcW w:w="8279" w:type="dxa"/>
            <w:tcMar>
              <w:top w:w="60" w:type="dxa"/>
              <w:left w:w="60" w:type="dxa"/>
              <w:bottom w:w="60" w:type="dxa"/>
              <w:right w:w="60" w:type="dxa"/>
            </w:tcMar>
          </w:tcPr>
          <w:p w14:paraId="1E0F1163"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22. Проміжна фінансова звітність емітента, складена за міжнародними стандартами фінансової звітності.</w:t>
            </w:r>
          </w:p>
        </w:tc>
        <w:tc>
          <w:tcPr>
            <w:tcW w:w="1987" w:type="dxa"/>
            <w:tcMar>
              <w:top w:w="60" w:type="dxa"/>
              <w:left w:w="60" w:type="dxa"/>
              <w:bottom w:w="60" w:type="dxa"/>
              <w:right w:w="60" w:type="dxa"/>
            </w:tcMar>
            <w:vAlign w:val="center"/>
          </w:tcPr>
          <w:p w14:paraId="431AB637"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334DF196" w14:textId="77777777" w:rsidTr="00003686">
        <w:tc>
          <w:tcPr>
            <w:tcW w:w="8279" w:type="dxa"/>
            <w:tcMar>
              <w:top w:w="60" w:type="dxa"/>
              <w:left w:w="60" w:type="dxa"/>
              <w:bottom w:w="60" w:type="dxa"/>
              <w:right w:w="60" w:type="dxa"/>
            </w:tcMar>
          </w:tcPr>
          <w:p w14:paraId="46FAFAED"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23. Висновок про огляд проміжної фінансової звітності, підготовлений аудитором (аудиторською фірмою).</w:t>
            </w:r>
          </w:p>
        </w:tc>
        <w:tc>
          <w:tcPr>
            <w:tcW w:w="1987" w:type="dxa"/>
            <w:tcMar>
              <w:top w:w="60" w:type="dxa"/>
              <w:left w:w="60" w:type="dxa"/>
              <w:bottom w:w="60" w:type="dxa"/>
              <w:right w:w="60" w:type="dxa"/>
            </w:tcMar>
            <w:vAlign w:val="center"/>
          </w:tcPr>
          <w:p w14:paraId="2579235A"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p>
        </w:tc>
      </w:tr>
      <w:tr w:rsidR="00537110" w:rsidRPr="00537110" w14:paraId="1700ABA6" w14:textId="77777777" w:rsidTr="00003686">
        <w:tc>
          <w:tcPr>
            <w:tcW w:w="8279" w:type="dxa"/>
            <w:tcMar>
              <w:top w:w="60" w:type="dxa"/>
              <w:left w:w="60" w:type="dxa"/>
              <w:bottom w:w="60" w:type="dxa"/>
              <w:right w:w="60" w:type="dxa"/>
            </w:tcMar>
            <w:vAlign w:val="center"/>
          </w:tcPr>
          <w:p w14:paraId="5039E2AE"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color w:val="000000"/>
                <w:kern w:val="0"/>
                <w:sz w:val="20"/>
                <w:szCs w:val="20"/>
                <w:lang w:eastAsia="uk-UA"/>
                <w14:ligatures w14:val="none"/>
              </w:rPr>
              <w:t>24. Проміжний звіт керівництва.</w:t>
            </w:r>
          </w:p>
        </w:tc>
        <w:tc>
          <w:tcPr>
            <w:tcW w:w="1987" w:type="dxa"/>
            <w:tcMar>
              <w:top w:w="60" w:type="dxa"/>
              <w:left w:w="60" w:type="dxa"/>
              <w:bottom w:w="60" w:type="dxa"/>
              <w:right w:w="60" w:type="dxa"/>
            </w:tcMar>
            <w:vAlign w:val="center"/>
          </w:tcPr>
          <w:p w14:paraId="57BA0939"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r w:rsidRPr="00537110">
              <w:rPr>
                <w:rFonts w:ascii="Times New Roman" w:eastAsia="Times New Roman" w:hAnsi="Times New Roman" w:cs="Times New Roman"/>
                <w:b/>
                <w:color w:val="000000"/>
                <w:kern w:val="0"/>
                <w:sz w:val="24"/>
                <w:szCs w:val="20"/>
                <w:lang w:val="en-US" w:eastAsia="uk-UA"/>
                <w14:ligatures w14:val="none"/>
              </w:rPr>
              <w:t>X</w:t>
            </w:r>
          </w:p>
        </w:tc>
      </w:tr>
      <w:tr w:rsidR="00537110" w:rsidRPr="00537110" w14:paraId="7862B102" w14:textId="77777777" w:rsidTr="00003686">
        <w:tc>
          <w:tcPr>
            <w:tcW w:w="8279" w:type="dxa"/>
            <w:tcMar>
              <w:top w:w="60" w:type="dxa"/>
              <w:left w:w="60" w:type="dxa"/>
              <w:bottom w:w="60" w:type="dxa"/>
              <w:right w:w="60" w:type="dxa"/>
            </w:tcMar>
          </w:tcPr>
          <w:p w14:paraId="0FC5ADEA"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25. Твердження щодо проміжної інформації.</w:t>
            </w:r>
          </w:p>
        </w:tc>
        <w:tc>
          <w:tcPr>
            <w:tcW w:w="1987" w:type="dxa"/>
            <w:tcMar>
              <w:top w:w="60" w:type="dxa"/>
              <w:left w:w="60" w:type="dxa"/>
              <w:bottom w:w="60" w:type="dxa"/>
              <w:right w:w="60" w:type="dxa"/>
            </w:tcMar>
            <w:vAlign w:val="center"/>
          </w:tcPr>
          <w:p w14:paraId="2DAD9CBC"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r w:rsidRPr="00537110">
              <w:rPr>
                <w:rFonts w:ascii="Times New Roman" w:eastAsia="Times New Roman" w:hAnsi="Times New Roman" w:cs="Times New Roman"/>
                <w:b/>
                <w:kern w:val="0"/>
                <w:sz w:val="24"/>
                <w:szCs w:val="24"/>
                <w:lang w:val="en-US" w:eastAsia="uk-UA"/>
                <w14:ligatures w14:val="none"/>
              </w:rPr>
              <w:t>X</w:t>
            </w:r>
          </w:p>
        </w:tc>
      </w:tr>
      <w:tr w:rsidR="00537110" w:rsidRPr="00537110" w14:paraId="10A93B31" w14:textId="77777777" w:rsidTr="00003686">
        <w:tc>
          <w:tcPr>
            <w:tcW w:w="8279" w:type="dxa"/>
            <w:tcMar>
              <w:top w:w="60" w:type="dxa"/>
              <w:left w:w="60" w:type="dxa"/>
              <w:bottom w:w="60" w:type="dxa"/>
              <w:right w:w="60" w:type="dxa"/>
            </w:tcMar>
          </w:tcPr>
          <w:p w14:paraId="7D2D9C53" w14:textId="77777777" w:rsidR="00537110" w:rsidRPr="00537110" w:rsidRDefault="00537110" w:rsidP="00537110">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537110">
              <w:rPr>
                <w:rFonts w:ascii="Times New Roman" w:eastAsia="Times New Roman" w:hAnsi="Times New Roman" w:cs="Times New Roman"/>
                <w:color w:val="000000"/>
                <w:kern w:val="0"/>
                <w:sz w:val="20"/>
                <w:szCs w:val="20"/>
                <w:lang w:eastAsia="ru-RU"/>
                <w14:ligatures w14:val="none"/>
              </w:rPr>
              <w:t>26. Примітки.</w:t>
            </w:r>
          </w:p>
        </w:tc>
        <w:tc>
          <w:tcPr>
            <w:tcW w:w="1987" w:type="dxa"/>
            <w:tcMar>
              <w:top w:w="60" w:type="dxa"/>
              <w:left w:w="60" w:type="dxa"/>
              <w:bottom w:w="60" w:type="dxa"/>
              <w:right w:w="60" w:type="dxa"/>
            </w:tcMar>
            <w:vAlign w:val="center"/>
          </w:tcPr>
          <w:p w14:paraId="59D30D11" w14:textId="77777777" w:rsidR="00537110" w:rsidRPr="00537110" w:rsidRDefault="00537110" w:rsidP="00537110">
            <w:pPr>
              <w:spacing w:after="0" w:line="240" w:lineRule="auto"/>
              <w:jc w:val="center"/>
              <w:rPr>
                <w:rFonts w:ascii="Times New Roman" w:eastAsia="Times New Roman" w:hAnsi="Times New Roman" w:cs="Times New Roman"/>
                <w:b/>
                <w:kern w:val="0"/>
                <w:sz w:val="24"/>
                <w:szCs w:val="24"/>
                <w:lang w:eastAsia="uk-UA"/>
                <w14:ligatures w14:val="none"/>
              </w:rPr>
            </w:pPr>
            <w:r w:rsidRPr="00537110">
              <w:rPr>
                <w:rFonts w:ascii="Times New Roman" w:eastAsia="Times New Roman" w:hAnsi="Times New Roman" w:cs="Times New Roman"/>
                <w:b/>
                <w:kern w:val="0"/>
                <w:sz w:val="24"/>
                <w:szCs w:val="24"/>
                <w:lang w:val="en-US" w:eastAsia="uk-UA"/>
                <w14:ligatures w14:val="none"/>
              </w:rPr>
              <w:t>X</w:t>
            </w:r>
          </w:p>
        </w:tc>
      </w:tr>
    </w:tbl>
    <w:p w14:paraId="47507D80"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p>
    <w:p w14:paraId="75EB61E7"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b/>
          <w:kern w:val="0"/>
          <w:sz w:val="20"/>
          <w:szCs w:val="20"/>
          <w:lang w:eastAsia="uk-UA"/>
          <w14:ligatures w14:val="none"/>
        </w:rPr>
        <w:t xml:space="preserve">Примітки : </w:t>
      </w:r>
      <w:r w:rsidRPr="00537110">
        <w:rPr>
          <w:rFonts w:ascii="Times New Roman" w:eastAsia="Times New Roman" w:hAnsi="Times New Roman" w:cs="Times New Roman"/>
          <w:kern w:val="0"/>
          <w:sz w:val="20"/>
          <w:szCs w:val="20"/>
          <w:lang w:val="en-US" w:eastAsia="uk-UA"/>
          <w14:ligatures w14:val="none"/>
        </w:rPr>
        <w:t>Cкладова змiсту "Основнi вiдомостi про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6217C2EB"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одержанi лiцензiї на окремi види дiяльностi" включена до складу проміжної iнформацiї на пiдставi пункту 1 глави 3 роздiлу III "Положення про розкриття iнформацiї емiтентами цiнних паперiв".</w:t>
      </w:r>
    </w:p>
    <w:p w14:paraId="449D8FB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посадових осiб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6B9EE087"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господарську та фiнансову дiяльнiсть емiтента " не включена до складу промiжної  iнформацiї   - за звiтний перiод  емiтент не вiв господарську та фiнансову дiяльнiсть.</w:t>
      </w:r>
    </w:p>
    <w:p w14:paraId="491889B6"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 Iнформацiя про зобов'язання та забезпечення емiтента" не включена до складу промiжної  iнформацiї   - на кiнець звiтного перiоду  емiтент не мав зобов'язаннь та забезпеченнь.</w:t>
      </w:r>
    </w:p>
    <w:p w14:paraId="4D67EFE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обсяги виробництва та реалiзацiї основних видiв продукцiї " не включена до складу промiжної  iнформацiї   - за звiтний перiод  емiтент не вiв господарську та фiнансову дiяльнiсть.</w:t>
      </w:r>
    </w:p>
    <w:p w14:paraId="276B09C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собiвартiсть реалiзованої  продукцiї " не включена до складу промiжної  iнформацiї   - за звiтний перiод  емiтент не вiв господарську та фiнансову дiяльнiсть.</w:t>
      </w:r>
    </w:p>
    <w:p w14:paraId="50639646"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"Вiдомостi про цiннi папери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1788D9FE"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випуски акцiй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781FA196"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облiгацiї емiтента " не включена до складу промiжної  iнформацiї   - за звiтний перiод  емiтент не реєстрував випускiв облiгацiй.</w:t>
      </w:r>
    </w:p>
    <w:p w14:paraId="70870029"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iншi цiннi папери, випущенi емiтентом " не включена до складу промiжної  iнформацiї   - за звiтний перiод  емiтент не реєстрував випускiв iнших цiнних паперiв.</w:t>
      </w:r>
    </w:p>
    <w:p w14:paraId="061E0ABA"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похiднi цiннi папери емiтента " не включена до складу промiжної  iнформацiї   - за звiтний перiод  емiтент не реєстрував випускiв похiдних цiнних паперiв.</w:t>
      </w:r>
    </w:p>
    <w:p w14:paraId="498E2F5A"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"Вiдомостi щодо участi емiтента в юридичних особах" включена до складу проміжної iнформацiї на пiдставi пункту 1 глави 3 роздiлу III "Положення про розкриття iнформацiї емiтентами цiнних паперiв".</w:t>
      </w:r>
    </w:p>
    <w:p w14:paraId="6EBB68D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"нформацiя щодо корпоративного секретаря " не включена до складу промiжної  iнформацiї ,  оскiльки емiтент не має посади корпоративного секретаря.</w:t>
      </w:r>
    </w:p>
    <w:p w14:paraId="26B29F9B"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вчинення значних правочинiв " не включена до складу промiжної  iнформацiї ,  оскiльки за звiтний перiод емiтент не мав вчинення значних правочинiв.</w:t>
      </w:r>
    </w:p>
    <w:p w14:paraId="2DA1D580"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вчинення правочинiв, щодо вчинення яких є заiнтересованiсть, осiб, заiнтересованих у вчиненнi товариством правочинiв iз заiнтересованiстю, та обставини, iснування яких створює заiнтересованiсть" не включена до складу промiжної  iнформацiї ,  оскiльки за звiтний перiод таких правочинiв немає.</w:t>
      </w:r>
    </w:p>
    <w:p w14:paraId="34886153"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та iнформацiя про загальну кiлькiсть голосуючих акцiй та кь" включена до складу проміжної iнформацiї на пiдставi пункту 1 глави 3 роздiлу III "Положення про розкриття iнформацiї емiтентами цiнних паперiв".</w:t>
      </w:r>
    </w:p>
    <w:p w14:paraId="6F0A6E1D"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забезпечення випуску боргових цiнних паперiв" не включена до складу промiжної  iнформацiї ,  оскiльки за звiтний перiод такої iнформацiї немає.</w:t>
      </w:r>
    </w:p>
    <w:p w14:paraId="7E2F3AE1"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конвертацiю цiнних паперiв" не включена до складу промiжної  iнформацiї ,  оскiльки за звiтний перiод такої iнформацiї немає.</w:t>
      </w:r>
    </w:p>
    <w:p w14:paraId="74F2BCC0"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замiну управителя" не включена до складу промiжної  iнформацiї ,  оскiльки за звiтний перiод такої iнформацiї немає.</w:t>
      </w:r>
    </w:p>
    <w:p w14:paraId="1F400B10"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керуючого iпотекою" не включена до складу промiжної  iнформацiї ,  оскiльки за звiтний перiод такої iнформацiї немає.</w:t>
      </w:r>
    </w:p>
    <w:p w14:paraId="76F51B4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трансформацiю (перетворення) iпотечних активiв" не включена до складу промiжної  iнформацiї ,  оскiльки за звiтний перiод такої iнформацiї немає.</w:t>
      </w:r>
    </w:p>
    <w:p w14:paraId="34249B62"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змiни в реєстрi забезпечення iпотечних сертифiкатiв за кожним консолiдованим iпотечним боргом" не включена до складу промiжної  iнформацiї ,  оскiльки за звiтний перiод такої iнформацiї немає.</w:t>
      </w:r>
    </w:p>
    <w:p w14:paraId="7B69CCC0"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lastRenderedPageBreak/>
        <w:t>Cкладова змiсту "Iнформацiя про iпотечне покриття" не включена до складу промiжної  iнформацiї ,  оскiльки за звiтний перiод такої iнформацiї немає.</w:t>
      </w:r>
    </w:p>
    <w:p w14:paraId="24E0CCE6"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замiну iпотечних активiв у складi iпотечного покриття" не включена до складу промiжної  iнформацiї ,  оскiльки за звiтний перiод такої iнформацiї немає.</w:t>
      </w:r>
    </w:p>
    <w:p w14:paraId="5F2163CD"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 не включена до складу промiжної  iнформацiї ,  оскiльки за звiтний перiод такої iнформацiї немає.</w:t>
      </w:r>
    </w:p>
    <w:p w14:paraId="1EFE9DEB"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спiввiдношення розмiру iпотечного покриття з розмiром (сумою) зобов'язань за iпотечними облiгацiями з цим iпотечним покриттям на кожну дату пiсля замiн iпотечних активiв у складi iпотечного покриття, якi вiдбулись протягом звiтного перiоду" не включена до складу промiжної  iнформацiї ,  оскiльки за звiтний перiод такої iнформацiї немає.</w:t>
      </w:r>
    </w:p>
    <w:p w14:paraId="28FD102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замiни iпотечних активiв у складi iпотечного покриття або включення нових iпотечних активiв до складу iпотечного покриття " не включена до складу промiжної  iнформацiї ,  оскiльки за звiтний перiод такої iнформацiї немає.</w:t>
      </w:r>
    </w:p>
    <w:p w14:paraId="0F622C9F"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"Iнформацiя про замiну фiнансової установи, яка здiйснює обслуговування iпотечних активiв" не включена до складу промiжної  iнформацiї ,  оскiльки за звiтний перiод такої iнформацiї немає.</w:t>
      </w:r>
    </w:p>
    <w:p w14:paraId="445691E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"Промiжна фiнансова звiтнiсть поручителя (страховика/гаранта), що здiйснює забезпечення випуску боргових цiнних паперiв (за кожним суб'єктом забезпечення окремо) " не включена до складу промiжної  iнформацiї ,  оскiльки за звiтний перiод такої iнформацiї немає.</w:t>
      </w:r>
    </w:p>
    <w:p w14:paraId="4828F37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не включена до складу промiжної  iнформацiї ,  оскiльки за звiтний перiод такої iнформацiї немає.</w:t>
      </w:r>
    </w:p>
    <w:p w14:paraId="6611B356"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"Промiжна фiнансова звiтнiсть емiтента, складена за положеннями (стандартами) бухгалтерського облiку " не включена до складу промiжної  iнформацiї ,  оскiльки за звiтний перiод такої iнформацiї немає.</w:t>
      </w:r>
    </w:p>
    <w:p w14:paraId="5019DB8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"Промiжна фiнансова звiтнiсть емiтента, складена за мiжнародними стандартами фiнансової звiтностi" не включена до складу промiжної  iнформацiї ,  оскiльки за звiтний перiод такої iнформацiї немає.</w:t>
      </w:r>
    </w:p>
    <w:p w14:paraId="0B07E2D3"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"Висновок про огляд промiжної фiнансової звiтностi, пiдготовлений аудитором (аудиторською фiрмою)" не включена до складу промiжної  iнформацiї ,  оскiльки за звiтний перiод такої iнформацiї немає.</w:t>
      </w:r>
    </w:p>
    <w:p w14:paraId="48957A24"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"Промiжний звiт керiвництва" включена до складу проміжної iнформацiї на пiдставi пункту 1 глави 3 роздiлу III "Положення про розкриття iнформацiї емiтентами цiнних паперiв".</w:t>
      </w:r>
    </w:p>
    <w:p w14:paraId="297B877A"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Cкладова змiсту "Твердження щодо промiжної iнформацiї" включена до складу проміжної iнформацiї на пiдставi пункту 1 глави 3 роздiлу III "Положення про розкриття iнформацiї емiтентами цiнних паперiв".</w:t>
      </w:r>
    </w:p>
    <w:p w14:paraId="0309295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p>
    <w:p w14:paraId="10F09FF6" w14:textId="77777777" w:rsidR="00537110" w:rsidRDefault="00537110">
      <w:pPr>
        <w:sectPr w:rsidR="00537110" w:rsidSect="00FF69E1">
          <w:pgSz w:w="11906" w:h="16838"/>
          <w:pgMar w:top="363" w:right="567" w:bottom="363" w:left="1417" w:header="709" w:footer="709" w:gutter="0"/>
          <w:cols w:space="708"/>
          <w:docGrid w:linePitch="360"/>
        </w:sectPr>
      </w:pPr>
    </w:p>
    <w:p w14:paraId="7A356287" w14:textId="77777777" w:rsidR="00537110" w:rsidRPr="00537110" w:rsidRDefault="00537110" w:rsidP="00537110">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537110">
        <w:rPr>
          <w:rFonts w:ascii="Times New Roman" w:eastAsia="Times New Roman" w:hAnsi="Times New Roman" w:cs="Times New Roman"/>
          <w:b/>
          <w:bCs/>
          <w:color w:val="000000"/>
          <w:kern w:val="0"/>
          <w:sz w:val="28"/>
          <w:szCs w:val="28"/>
          <w:lang w:val="en-US" w:eastAsia="uk-UA"/>
          <w14:ligatures w14:val="none"/>
        </w:rPr>
        <w:lastRenderedPageBreak/>
        <w:t>III</w:t>
      </w:r>
      <w:r w:rsidRPr="00537110">
        <w:rPr>
          <w:rFonts w:ascii="Times New Roman" w:eastAsia="Times New Roman" w:hAnsi="Times New Roman" w:cs="Times New Roman"/>
          <w:b/>
          <w:bCs/>
          <w:color w:val="000000"/>
          <w:kern w:val="0"/>
          <w:sz w:val="28"/>
          <w:szCs w:val="28"/>
          <w:lang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537110" w:rsidRPr="00537110" w14:paraId="2433C661" w14:textId="77777777" w:rsidTr="00003686">
        <w:trPr>
          <w:trHeight w:val="397"/>
        </w:trPr>
        <w:tc>
          <w:tcPr>
            <w:tcW w:w="4927" w:type="dxa"/>
            <w:gridSpan w:val="3"/>
            <w:shd w:val="clear" w:color="auto" w:fill="auto"/>
            <w:vAlign w:val="center"/>
          </w:tcPr>
          <w:p w14:paraId="6D11BDCA"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1. Повне найменування</w:t>
            </w:r>
          </w:p>
        </w:tc>
        <w:tc>
          <w:tcPr>
            <w:tcW w:w="4928" w:type="dxa"/>
            <w:shd w:val="clear" w:color="auto" w:fill="auto"/>
            <w:vAlign w:val="center"/>
          </w:tcPr>
          <w:p w14:paraId="5CAAEC30"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 xml:space="preserve"> </w:t>
            </w:r>
            <w:r w:rsidRPr="00537110">
              <w:rPr>
                <w:rFonts w:ascii="Times New Roman" w:eastAsia="Times New Roman" w:hAnsi="Times New Roman" w:cs="Times New Roman"/>
                <w:b/>
                <w:kern w:val="0"/>
                <w:sz w:val="20"/>
                <w:szCs w:val="20"/>
                <w:lang w:val="en-US" w:eastAsia="uk-UA"/>
                <w14:ligatures w14:val="none"/>
              </w:rPr>
              <w:t>Приватне акцiонерне товариство "Iвано-Франкiвськцемент"</w:t>
            </w:r>
          </w:p>
        </w:tc>
      </w:tr>
      <w:tr w:rsidR="00537110" w:rsidRPr="00537110" w14:paraId="6AD0D5A0" w14:textId="77777777" w:rsidTr="00003686">
        <w:trPr>
          <w:trHeight w:val="397"/>
        </w:trPr>
        <w:tc>
          <w:tcPr>
            <w:tcW w:w="4927" w:type="dxa"/>
            <w:gridSpan w:val="3"/>
            <w:shd w:val="clear" w:color="auto" w:fill="auto"/>
            <w:vAlign w:val="center"/>
          </w:tcPr>
          <w:p w14:paraId="714E4204"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val="en-US" w:eastAsia="uk-UA"/>
                <w14:ligatures w14:val="none"/>
              </w:rPr>
              <w:t>2</w:t>
            </w:r>
            <w:r w:rsidRPr="00537110">
              <w:rPr>
                <w:rFonts w:ascii="Times New Roman" w:eastAsia="Times New Roman" w:hAnsi="Times New Roman" w:cs="Times New Roman"/>
                <w:kern w:val="0"/>
                <w:sz w:val="20"/>
                <w:szCs w:val="20"/>
                <w:lang w:eastAsia="uk-UA"/>
                <w14:ligatures w14:val="none"/>
              </w:rPr>
              <w:t>. Дата проведення державної реєстрації</w:t>
            </w:r>
          </w:p>
        </w:tc>
        <w:tc>
          <w:tcPr>
            <w:tcW w:w="4928" w:type="dxa"/>
            <w:shd w:val="clear" w:color="auto" w:fill="auto"/>
            <w:vAlign w:val="center"/>
          </w:tcPr>
          <w:p w14:paraId="624777EE"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01.02.1999</w:t>
            </w:r>
          </w:p>
        </w:tc>
      </w:tr>
      <w:tr w:rsidR="00537110" w:rsidRPr="00537110" w14:paraId="21017C88" w14:textId="77777777" w:rsidTr="00003686">
        <w:trPr>
          <w:trHeight w:val="397"/>
        </w:trPr>
        <w:tc>
          <w:tcPr>
            <w:tcW w:w="4927" w:type="dxa"/>
            <w:gridSpan w:val="3"/>
            <w:shd w:val="clear" w:color="auto" w:fill="auto"/>
            <w:vAlign w:val="center"/>
          </w:tcPr>
          <w:p w14:paraId="68A0581A"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val="en-US" w:eastAsia="uk-UA"/>
                <w14:ligatures w14:val="none"/>
              </w:rPr>
              <w:t>3.</w:t>
            </w:r>
            <w:r w:rsidRPr="00537110">
              <w:rPr>
                <w:rFonts w:ascii="Times New Roman" w:eastAsia="Times New Roman" w:hAnsi="Times New Roman" w:cs="Times New Roman"/>
                <w:kern w:val="0"/>
                <w:sz w:val="20"/>
                <w:szCs w:val="20"/>
                <w:lang w:eastAsia="uk-UA"/>
                <w14:ligatures w14:val="none"/>
              </w:rPr>
              <w:t xml:space="preserve"> </w:t>
            </w:r>
            <w:r w:rsidRPr="00537110">
              <w:rPr>
                <w:rFonts w:ascii="Times New Roman" w:eastAsia="Times New Roman" w:hAnsi="Times New Roman" w:cs="Times New Roman"/>
                <w:kern w:val="0"/>
                <w:sz w:val="20"/>
                <w:szCs w:val="20"/>
                <w:lang w:val="ru-RU" w:eastAsia="uk-UA"/>
                <w14:ligatures w14:val="none"/>
              </w:rPr>
              <w:t>Територія</w:t>
            </w:r>
            <w:r w:rsidRPr="00537110">
              <w:rPr>
                <w:rFonts w:ascii="Times New Roman" w:eastAsia="Times New Roman" w:hAnsi="Times New Roman" w:cs="Times New Roman"/>
                <w:kern w:val="0"/>
                <w:sz w:val="20"/>
                <w:szCs w:val="20"/>
                <w:lang w:val="en-US" w:eastAsia="uk-UA"/>
                <w14:ligatures w14:val="none"/>
              </w:rPr>
              <w:t xml:space="preserve"> (</w:t>
            </w:r>
            <w:r w:rsidRPr="00537110">
              <w:rPr>
                <w:rFonts w:ascii="Times New Roman" w:eastAsia="Times New Roman" w:hAnsi="Times New Roman" w:cs="Times New Roman"/>
                <w:kern w:val="0"/>
                <w:sz w:val="20"/>
                <w:szCs w:val="20"/>
                <w:lang w:val="ru-RU" w:eastAsia="uk-UA"/>
                <w14:ligatures w14:val="none"/>
              </w:rPr>
              <w:t>о</w:t>
            </w:r>
            <w:r w:rsidRPr="00537110">
              <w:rPr>
                <w:rFonts w:ascii="Times New Roman" w:eastAsia="Times New Roman" w:hAnsi="Times New Roman" w:cs="Times New Roman"/>
                <w:kern w:val="0"/>
                <w:sz w:val="20"/>
                <w:szCs w:val="20"/>
                <w:lang w:eastAsia="uk-UA"/>
                <w14:ligatures w14:val="none"/>
              </w:rPr>
              <w:t>бласть)</w:t>
            </w:r>
          </w:p>
        </w:tc>
        <w:tc>
          <w:tcPr>
            <w:tcW w:w="4928" w:type="dxa"/>
            <w:shd w:val="clear" w:color="auto" w:fill="auto"/>
            <w:vAlign w:val="center"/>
          </w:tcPr>
          <w:p w14:paraId="6A60DCBF"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UA26040390000023006</w:t>
            </w:r>
          </w:p>
        </w:tc>
      </w:tr>
      <w:tr w:rsidR="00537110" w:rsidRPr="00537110" w14:paraId="3ACCF4CB" w14:textId="77777777" w:rsidTr="00003686">
        <w:trPr>
          <w:trHeight w:val="397"/>
        </w:trPr>
        <w:tc>
          <w:tcPr>
            <w:tcW w:w="4927" w:type="dxa"/>
            <w:gridSpan w:val="3"/>
            <w:shd w:val="clear" w:color="auto" w:fill="auto"/>
            <w:vAlign w:val="center"/>
          </w:tcPr>
          <w:p w14:paraId="51132B85"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val="en-US" w:eastAsia="uk-UA"/>
                <w14:ligatures w14:val="none"/>
              </w:rPr>
              <w:t>4</w:t>
            </w:r>
            <w:r w:rsidRPr="00537110">
              <w:rPr>
                <w:rFonts w:ascii="Times New Roman" w:eastAsia="Times New Roman" w:hAnsi="Times New Roman" w:cs="Times New Roman"/>
                <w:kern w:val="0"/>
                <w:sz w:val="20"/>
                <w:szCs w:val="20"/>
                <w:lang w:eastAsia="uk-UA"/>
                <w14:ligatures w14:val="none"/>
              </w:rPr>
              <w:t>. Статутний капітал (грн.)</w:t>
            </w:r>
          </w:p>
        </w:tc>
        <w:tc>
          <w:tcPr>
            <w:tcW w:w="4928" w:type="dxa"/>
            <w:shd w:val="clear" w:color="auto" w:fill="auto"/>
            <w:vAlign w:val="center"/>
          </w:tcPr>
          <w:p w14:paraId="67797D68"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133131500.00</w:t>
            </w:r>
          </w:p>
        </w:tc>
      </w:tr>
      <w:tr w:rsidR="00537110" w:rsidRPr="00537110" w14:paraId="5C8C7AF2" w14:textId="77777777" w:rsidTr="00003686">
        <w:trPr>
          <w:trHeight w:val="397"/>
        </w:trPr>
        <w:tc>
          <w:tcPr>
            <w:tcW w:w="4927" w:type="dxa"/>
            <w:gridSpan w:val="3"/>
            <w:shd w:val="clear" w:color="auto" w:fill="auto"/>
            <w:vAlign w:val="center"/>
          </w:tcPr>
          <w:p w14:paraId="63D7ECCE"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val="ru-RU" w:eastAsia="uk-UA"/>
                <w14:ligatures w14:val="none"/>
              </w:rPr>
              <w:t>5</w:t>
            </w:r>
            <w:r w:rsidRPr="00537110">
              <w:rPr>
                <w:rFonts w:ascii="Times New Roman" w:eastAsia="Times New Roman" w:hAnsi="Times New Roman" w:cs="Times New Roman"/>
                <w:kern w:val="0"/>
                <w:sz w:val="20"/>
                <w:szCs w:val="20"/>
                <w:lang w:eastAsia="uk-UA"/>
                <w14:ligatures w14:val="none"/>
              </w:rPr>
              <w:t>. Відсоток акцій у статутному капіталі, що належать державі</w:t>
            </w:r>
          </w:p>
        </w:tc>
        <w:tc>
          <w:tcPr>
            <w:tcW w:w="4928" w:type="dxa"/>
            <w:shd w:val="clear" w:color="auto" w:fill="auto"/>
            <w:vAlign w:val="center"/>
          </w:tcPr>
          <w:p w14:paraId="6DA48B9A"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ru-RU" w:eastAsia="uk-UA"/>
                <w14:ligatures w14:val="none"/>
              </w:rPr>
              <w:t>0.000</w:t>
            </w:r>
          </w:p>
        </w:tc>
      </w:tr>
      <w:tr w:rsidR="00537110" w:rsidRPr="00537110" w14:paraId="5EEA99D9" w14:textId="77777777" w:rsidTr="00003686">
        <w:trPr>
          <w:trHeight w:val="397"/>
        </w:trPr>
        <w:tc>
          <w:tcPr>
            <w:tcW w:w="4927" w:type="dxa"/>
            <w:gridSpan w:val="3"/>
            <w:shd w:val="clear" w:color="auto" w:fill="auto"/>
            <w:vAlign w:val="center"/>
          </w:tcPr>
          <w:p w14:paraId="14557440"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val="ru-RU" w:eastAsia="uk-UA"/>
                <w14:ligatures w14:val="none"/>
              </w:rPr>
              <w:t>6</w:t>
            </w:r>
            <w:r w:rsidRPr="00537110">
              <w:rPr>
                <w:rFonts w:ascii="Times New Roman" w:eastAsia="Times New Roman" w:hAnsi="Times New Roman" w:cs="Times New Roman"/>
                <w:kern w:val="0"/>
                <w:sz w:val="20"/>
                <w:szCs w:val="20"/>
                <w:lang w:eastAsia="uk-UA"/>
                <w14:ligatures w14:val="none"/>
              </w:rPr>
              <w:t>.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2D598907"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ru-RU" w:eastAsia="uk-UA"/>
                <w14:ligatures w14:val="none"/>
              </w:rPr>
            </w:pPr>
            <w:r w:rsidRPr="00537110">
              <w:rPr>
                <w:rFonts w:ascii="Times New Roman" w:eastAsia="Times New Roman" w:hAnsi="Times New Roman" w:cs="Times New Roman"/>
                <w:b/>
                <w:kern w:val="0"/>
                <w:sz w:val="20"/>
                <w:szCs w:val="20"/>
                <w:lang w:val="ru-RU" w:eastAsia="uk-UA"/>
                <w14:ligatures w14:val="none"/>
              </w:rPr>
              <w:t>0.000</w:t>
            </w:r>
          </w:p>
        </w:tc>
      </w:tr>
      <w:tr w:rsidR="00537110" w:rsidRPr="00537110" w14:paraId="5CABD511" w14:textId="77777777" w:rsidTr="00003686">
        <w:trPr>
          <w:trHeight w:val="397"/>
        </w:trPr>
        <w:tc>
          <w:tcPr>
            <w:tcW w:w="4927" w:type="dxa"/>
            <w:gridSpan w:val="3"/>
            <w:shd w:val="clear" w:color="auto" w:fill="auto"/>
            <w:vAlign w:val="center"/>
          </w:tcPr>
          <w:p w14:paraId="691CFE89"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val="en-US" w:eastAsia="uk-UA"/>
                <w14:ligatures w14:val="none"/>
              </w:rPr>
              <w:t>7</w:t>
            </w:r>
            <w:r w:rsidRPr="00537110">
              <w:rPr>
                <w:rFonts w:ascii="Times New Roman" w:eastAsia="Times New Roman" w:hAnsi="Times New Roman" w:cs="Times New Roman"/>
                <w:kern w:val="0"/>
                <w:sz w:val="20"/>
                <w:szCs w:val="20"/>
                <w:lang w:eastAsia="uk-UA"/>
                <w14:ligatures w14:val="none"/>
              </w:rPr>
              <w:t>. Середня кількість працівників (осіб)</w:t>
            </w:r>
          </w:p>
        </w:tc>
        <w:tc>
          <w:tcPr>
            <w:tcW w:w="4928" w:type="dxa"/>
            <w:shd w:val="clear" w:color="auto" w:fill="auto"/>
            <w:vAlign w:val="center"/>
          </w:tcPr>
          <w:p w14:paraId="185DAC68"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ru-RU" w:eastAsia="uk-UA"/>
                <w14:ligatures w14:val="none"/>
              </w:rPr>
              <w:t>1710</w:t>
            </w:r>
          </w:p>
        </w:tc>
      </w:tr>
      <w:tr w:rsidR="00537110" w:rsidRPr="00537110" w14:paraId="439B6EA0" w14:textId="77777777" w:rsidTr="00003686">
        <w:trPr>
          <w:trHeight w:val="397"/>
        </w:trPr>
        <w:tc>
          <w:tcPr>
            <w:tcW w:w="9855" w:type="dxa"/>
            <w:gridSpan w:val="4"/>
            <w:shd w:val="clear" w:color="auto" w:fill="auto"/>
            <w:vAlign w:val="center"/>
          </w:tcPr>
          <w:p w14:paraId="4719CB5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ru-RU" w:eastAsia="uk-UA"/>
                <w14:ligatures w14:val="none"/>
              </w:rPr>
            </w:pPr>
            <w:r w:rsidRPr="00537110">
              <w:rPr>
                <w:rFonts w:ascii="Times New Roman" w:eastAsia="Times New Roman" w:hAnsi="Times New Roman" w:cs="Times New Roman"/>
                <w:kern w:val="0"/>
                <w:sz w:val="20"/>
                <w:szCs w:val="20"/>
                <w:lang w:val="ru-RU" w:eastAsia="uk-UA"/>
                <w14:ligatures w14:val="none"/>
              </w:rPr>
              <w:t>8</w:t>
            </w:r>
            <w:r w:rsidRPr="00537110">
              <w:rPr>
                <w:rFonts w:ascii="Times New Roman" w:eastAsia="Times New Roman" w:hAnsi="Times New Roman" w:cs="Times New Roman"/>
                <w:kern w:val="0"/>
                <w:sz w:val="20"/>
                <w:szCs w:val="20"/>
                <w:lang w:eastAsia="uk-UA"/>
                <w14:ligatures w14:val="none"/>
              </w:rPr>
              <w:t>. Основні види діяльності із зазначенням найменування виду діяльності та коду за КВЕД</w:t>
            </w:r>
          </w:p>
        </w:tc>
      </w:tr>
      <w:tr w:rsidR="00537110" w:rsidRPr="00537110" w14:paraId="4E63305D" w14:textId="77777777" w:rsidTr="00003686">
        <w:trPr>
          <w:trHeight w:val="397"/>
        </w:trPr>
        <w:tc>
          <w:tcPr>
            <w:tcW w:w="1368" w:type="dxa"/>
            <w:shd w:val="clear" w:color="auto" w:fill="auto"/>
            <w:vAlign w:val="center"/>
          </w:tcPr>
          <w:p w14:paraId="3CEFC0AC"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en-US" w:eastAsia="uk-UA"/>
                <w14:ligatures w14:val="none"/>
              </w:rPr>
              <w:t>23.51</w:t>
            </w:r>
          </w:p>
        </w:tc>
        <w:tc>
          <w:tcPr>
            <w:tcW w:w="8487" w:type="dxa"/>
            <w:gridSpan w:val="3"/>
            <w:shd w:val="clear" w:color="auto" w:fill="auto"/>
            <w:vAlign w:val="center"/>
          </w:tcPr>
          <w:p w14:paraId="54BF6A70"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ВИРОБНИЦТВО ЦЕМЕНТУ</w:t>
            </w:r>
          </w:p>
        </w:tc>
      </w:tr>
      <w:tr w:rsidR="00537110" w:rsidRPr="00537110" w14:paraId="4B04EA46" w14:textId="77777777" w:rsidTr="00003686">
        <w:trPr>
          <w:trHeight w:val="397"/>
        </w:trPr>
        <w:tc>
          <w:tcPr>
            <w:tcW w:w="1368" w:type="dxa"/>
            <w:shd w:val="clear" w:color="auto" w:fill="auto"/>
            <w:vAlign w:val="center"/>
          </w:tcPr>
          <w:p w14:paraId="4E434C48"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23.65</w:t>
            </w:r>
          </w:p>
        </w:tc>
        <w:tc>
          <w:tcPr>
            <w:tcW w:w="8487" w:type="dxa"/>
            <w:gridSpan w:val="3"/>
            <w:shd w:val="clear" w:color="auto" w:fill="auto"/>
            <w:vAlign w:val="center"/>
          </w:tcPr>
          <w:p w14:paraId="06D24099"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Виготовлення виробiв з волокнистого цементу</w:t>
            </w:r>
          </w:p>
        </w:tc>
      </w:tr>
      <w:tr w:rsidR="00537110" w:rsidRPr="00537110" w14:paraId="6620E1D5" w14:textId="77777777" w:rsidTr="00003686">
        <w:trPr>
          <w:trHeight w:val="397"/>
        </w:trPr>
        <w:tc>
          <w:tcPr>
            <w:tcW w:w="1368" w:type="dxa"/>
            <w:shd w:val="clear" w:color="auto" w:fill="auto"/>
            <w:vAlign w:val="center"/>
          </w:tcPr>
          <w:p w14:paraId="169C5E38"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43.29</w:t>
            </w:r>
          </w:p>
        </w:tc>
        <w:tc>
          <w:tcPr>
            <w:tcW w:w="8487" w:type="dxa"/>
            <w:gridSpan w:val="3"/>
            <w:shd w:val="clear" w:color="auto" w:fill="auto"/>
            <w:vAlign w:val="center"/>
          </w:tcPr>
          <w:p w14:paraId="07D73535"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Iншi будiвельно-монтажнi роботи</w:t>
            </w:r>
          </w:p>
        </w:tc>
      </w:tr>
      <w:tr w:rsidR="00537110" w:rsidRPr="00537110" w14:paraId="79EC85B5" w14:textId="77777777" w:rsidTr="00003686">
        <w:tc>
          <w:tcPr>
            <w:tcW w:w="2268" w:type="dxa"/>
            <w:gridSpan w:val="2"/>
            <w:shd w:val="clear" w:color="auto" w:fill="auto"/>
          </w:tcPr>
          <w:p w14:paraId="16848F5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ru-RU" w:eastAsia="uk-UA"/>
                <w14:ligatures w14:val="none"/>
              </w:rPr>
            </w:pPr>
            <w:r w:rsidRPr="00537110">
              <w:rPr>
                <w:rFonts w:ascii="Times New Roman" w:eastAsia="Times New Roman" w:hAnsi="Times New Roman" w:cs="Times New Roman"/>
                <w:kern w:val="0"/>
                <w:sz w:val="20"/>
                <w:szCs w:val="20"/>
                <w:lang w:val="en-US" w:eastAsia="uk-UA"/>
                <w14:ligatures w14:val="none"/>
              </w:rPr>
              <w:t>9</w:t>
            </w:r>
            <w:r w:rsidRPr="00537110">
              <w:rPr>
                <w:rFonts w:ascii="Times New Roman" w:eastAsia="Times New Roman" w:hAnsi="Times New Roman" w:cs="Times New Roman"/>
                <w:kern w:val="0"/>
                <w:sz w:val="20"/>
                <w:szCs w:val="20"/>
                <w:lang w:val="ru-RU" w:eastAsia="uk-UA"/>
                <w14:ligatures w14:val="none"/>
              </w:rPr>
              <w:t>. Органи управління підприємства</w:t>
            </w:r>
          </w:p>
        </w:tc>
        <w:tc>
          <w:tcPr>
            <w:tcW w:w="7587" w:type="dxa"/>
            <w:gridSpan w:val="2"/>
            <w:shd w:val="clear" w:color="auto" w:fill="auto"/>
          </w:tcPr>
          <w:p w14:paraId="767B7961"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en-US" w:eastAsia="uk-UA"/>
                <w14:ligatures w14:val="none"/>
              </w:rPr>
              <w:t>Правління Товариства</w:t>
            </w:r>
          </w:p>
        </w:tc>
      </w:tr>
      <w:tr w:rsidR="00537110" w:rsidRPr="00537110" w14:paraId="3DA43F59" w14:textId="77777777" w:rsidTr="00003686">
        <w:tc>
          <w:tcPr>
            <w:tcW w:w="9855" w:type="dxa"/>
            <w:gridSpan w:val="4"/>
            <w:shd w:val="clear" w:color="auto" w:fill="auto"/>
          </w:tcPr>
          <w:p w14:paraId="01D25A2F" w14:textId="77777777" w:rsidR="00537110" w:rsidRPr="00537110" w:rsidRDefault="00537110" w:rsidP="00537110">
            <w:pPr>
              <w:spacing w:after="0" w:line="240" w:lineRule="auto"/>
              <w:jc w:val="both"/>
              <w:rPr>
                <w:rFonts w:ascii="Times New Roman" w:eastAsia="Times New Roman" w:hAnsi="Times New Roman" w:cs="Times New Roman"/>
                <w:kern w:val="0"/>
                <w:sz w:val="20"/>
                <w:szCs w:val="20"/>
                <w:lang w:val="ru-RU" w:eastAsia="ru-RU"/>
                <w14:ligatures w14:val="none"/>
              </w:rPr>
            </w:pPr>
            <w:r w:rsidRPr="00537110">
              <w:rPr>
                <w:rFonts w:ascii="Times New Roman" w:eastAsia="Times New Roman" w:hAnsi="Times New Roman" w:cs="Times New Roman"/>
                <w:kern w:val="0"/>
                <w:sz w:val="20"/>
                <w:szCs w:val="20"/>
                <w:lang w:val="ru-RU" w:eastAsia="ru-RU"/>
                <w14:ligatures w14:val="none"/>
              </w:rPr>
              <w:t>10. Засновники (наводиться перелік засновників (учасників) юридичної особи, у тому числі прізвище, ім'я, по батькові, якщо засновник – фізична особа; найменування, місцезнаходження та ідентифікаційний код юридичної особи, якщо засновник – юридична особа).</w:t>
            </w:r>
          </w:p>
          <w:p w14:paraId="7DDA6010" w14:textId="77777777" w:rsidR="00537110" w:rsidRPr="00537110" w:rsidRDefault="00537110" w:rsidP="00537110">
            <w:pPr>
              <w:spacing w:after="0" w:line="240" w:lineRule="auto"/>
              <w:jc w:val="both"/>
              <w:rPr>
                <w:rFonts w:ascii="Times New Roman" w:eastAsia="Times New Roman" w:hAnsi="Times New Roman" w:cs="Times New Roman"/>
                <w:b/>
                <w:kern w:val="0"/>
                <w:sz w:val="20"/>
                <w:szCs w:val="20"/>
                <w:lang w:val="ru-RU" w:eastAsia="ru-RU"/>
                <w14:ligatures w14:val="none"/>
              </w:rPr>
            </w:pPr>
            <w:r w:rsidRPr="00537110">
              <w:rPr>
                <w:rFonts w:ascii="Times New Roman" w:eastAsia="Times New Roman" w:hAnsi="Times New Roman" w:cs="Times New Roman"/>
                <w:kern w:val="0"/>
                <w:sz w:val="20"/>
                <w:szCs w:val="20"/>
                <w:lang w:val="ru-RU" w:eastAsia="ru-RU"/>
                <w14:ligatures w14:val="none"/>
              </w:rPr>
              <w:t>Якщо кількість фізичних осіб - засновників емітента перевищує двадцять, зазначається загальна кількість фізичних осіб :</w:t>
            </w:r>
          </w:p>
        </w:tc>
      </w:tr>
      <w:tr w:rsidR="00537110" w:rsidRPr="00537110" w14:paraId="4D913DF5" w14:textId="77777777" w:rsidTr="00003686">
        <w:tc>
          <w:tcPr>
            <w:tcW w:w="9855" w:type="dxa"/>
            <w:gridSpan w:val="4"/>
            <w:shd w:val="clear" w:color="auto" w:fill="auto"/>
          </w:tcPr>
          <w:p w14:paraId="611F1BB6"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en-US" w:eastAsia="uk-UA"/>
                <w14:ligatures w14:val="none"/>
              </w:rPr>
              <w:t>1. Cemln West SA, місцезнаходження : ШВЕЙЦАРІЯ 6312  н/д Turmstrasse 18,Steinhausen, ідентифікаційний код юридичної особи : 275.084.54</w:t>
            </w:r>
          </w:p>
          <w:p w14:paraId="017701EB"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p>
        </w:tc>
      </w:tr>
    </w:tbl>
    <w:p w14:paraId="5802B293" w14:textId="77777777" w:rsidR="00537110" w:rsidRPr="00537110" w:rsidRDefault="00537110" w:rsidP="00537110">
      <w:pPr>
        <w:spacing w:after="0" w:line="240" w:lineRule="auto"/>
        <w:rPr>
          <w:rFonts w:ascii="Times New Roman" w:eastAsia="Times New Roman" w:hAnsi="Times New Roman" w:cs="Times New Roman"/>
          <w:vanish/>
          <w:kern w:val="0"/>
          <w:sz w:val="24"/>
          <w:szCs w:val="24"/>
          <w:lang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537110" w:rsidRPr="00537110" w14:paraId="0C5E9C4A" w14:textId="77777777" w:rsidTr="00003686">
        <w:tc>
          <w:tcPr>
            <w:tcW w:w="9960" w:type="dxa"/>
            <w:gridSpan w:val="2"/>
            <w:tcMar>
              <w:top w:w="60" w:type="dxa"/>
              <w:left w:w="60" w:type="dxa"/>
              <w:bottom w:w="60" w:type="dxa"/>
              <w:right w:w="60" w:type="dxa"/>
            </w:tcMar>
            <w:vAlign w:val="center"/>
          </w:tcPr>
          <w:p w14:paraId="7A899D25"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eastAsia="uk-UA"/>
                <w14:ligatures w14:val="none"/>
              </w:rPr>
              <w:t>11. Банки, що обслуговують емітента</w:t>
            </w:r>
          </w:p>
        </w:tc>
      </w:tr>
      <w:tr w:rsidR="00537110" w:rsidRPr="00537110" w14:paraId="76D46965" w14:textId="77777777" w:rsidTr="00003686">
        <w:tc>
          <w:tcPr>
            <w:tcW w:w="4920" w:type="dxa"/>
            <w:tcMar>
              <w:top w:w="60" w:type="dxa"/>
              <w:left w:w="60" w:type="dxa"/>
              <w:bottom w:w="60" w:type="dxa"/>
              <w:right w:w="60" w:type="dxa"/>
            </w:tcMar>
          </w:tcPr>
          <w:p w14:paraId="249E8280"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1) Найменування банку (філії, відділення банку), який обслуговує емітента за поточним рахунком у національній валюті</w:t>
            </w:r>
          </w:p>
        </w:tc>
        <w:tc>
          <w:tcPr>
            <w:tcW w:w="5040" w:type="dxa"/>
          </w:tcPr>
          <w:p w14:paraId="70012424"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val="en-US" w:eastAsia="uk-UA"/>
                <w14:ligatures w14:val="none"/>
              </w:rPr>
            </w:pPr>
            <w:r w:rsidRPr="00537110">
              <w:rPr>
                <w:rFonts w:ascii="Times New Roman" w:eastAsia="Times New Roman" w:hAnsi="Times New Roman" w:cs="Times New Roman"/>
                <w:b/>
                <w:kern w:val="0"/>
                <w:sz w:val="20"/>
                <w:szCs w:val="20"/>
                <w:lang w:val="ru-RU" w:eastAsia="uk-UA"/>
                <w14:ligatures w14:val="none"/>
              </w:rPr>
              <w:t xml:space="preserve"> </w:t>
            </w:r>
            <w:r w:rsidRPr="00537110">
              <w:rPr>
                <w:rFonts w:ascii="Times New Roman" w:eastAsia="Times New Roman" w:hAnsi="Times New Roman" w:cs="Times New Roman"/>
                <w:b/>
                <w:kern w:val="0"/>
                <w:sz w:val="20"/>
                <w:szCs w:val="20"/>
                <w:lang w:val="en-US" w:eastAsia="uk-UA"/>
                <w14:ligatures w14:val="none"/>
              </w:rPr>
              <w:t>АТ "Укрексiмбанк"</w:t>
            </w:r>
          </w:p>
        </w:tc>
      </w:tr>
      <w:tr w:rsidR="00537110" w:rsidRPr="00537110" w14:paraId="3082B8C8" w14:textId="77777777" w:rsidTr="00003686">
        <w:tc>
          <w:tcPr>
            <w:tcW w:w="4920" w:type="dxa"/>
            <w:tcMar>
              <w:top w:w="60" w:type="dxa"/>
              <w:left w:w="60" w:type="dxa"/>
              <w:bottom w:w="60" w:type="dxa"/>
              <w:right w:w="60" w:type="dxa"/>
            </w:tcMar>
          </w:tcPr>
          <w:p w14:paraId="4DDC2C52"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2) МФО банку</w:t>
            </w:r>
          </w:p>
        </w:tc>
        <w:tc>
          <w:tcPr>
            <w:tcW w:w="5040" w:type="dxa"/>
          </w:tcPr>
          <w:p w14:paraId="129D1D88"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322313</w:t>
            </w:r>
          </w:p>
        </w:tc>
      </w:tr>
      <w:tr w:rsidR="00537110" w:rsidRPr="00537110" w14:paraId="2D5D59CF" w14:textId="77777777" w:rsidTr="00003686">
        <w:tc>
          <w:tcPr>
            <w:tcW w:w="4920" w:type="dxa"/>
            <w:tcMar>
              <w:top w:w="60" w:type="dxa"/>
              <w:left w:w="60" w:type="dxa"/>
              <w:bottom w:w="60" w:type="dxa"/>
              <w:right w:w="60" w:type="dxa"/>
            </w:tcMar>
          </w:tcPr>
          <w:p w14:paraId="21F7AA59"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3) Поточний рахунок</w:t>
            </w:r>
          </w:p>
        </w:tc>
        <w:tc>
          <w:tcPr>
            <w:tcW w:w="5040" w:type="dxa"/>
          </w:tcPr>
          <w:p w14:paraId="354EDC11"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UA553223130000026000000007572</w:t>
            </w:r>
          </w:p>
        </w:tc>
      </w:tr>
      <w:tr w:rsidR="00537110" w:rsidRPr="00537110" w14:paraId="415F8AD7" w14:textId="77777777" w:rsidTr="00003686">
        <w:tc>
          <w:tcPr>
            <w:tcW w:w="4920" w:type="dxa"/>
            <w:tcMar>
              <w:top w:w="60" w:type="dxa"/>
              <w:left w:w="60" w:type="dxa"/>
              <w:bottom w:w="60" w:type="dxa"/>
              <w:right w:w="60" w:type="dxa"/>
            </w:tcMar>
          </w:tcPr>
          <w:p w14:paraId="714B27AC"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4) Найменування банку (філії, відділення банку), який обслуговує емітента за поточним рахунком у іноземній валюті</w:t>
            </w:r>
          </w:p>
        </w:tc>
        <w:tc>
          <w:tcPr>
            <w:tcW w:w="5040" w:type="dxa"/>
          </w:tcPr>
          <w:p w14:paraId="6B3DEAA4"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val="ru-RU" w:eastAsia="uk-UA"/>
                <w14:ligatures w14:val="none"/>
              </w:rPr>
              <w:t xml:space="preserve"> </w:t>
            </w:r>
            <w:r w:rsidRPr="00537110">
              <w:rPr>
                <w:rFonts w:ascii="Times New Roman" w:eastAsia="Times New Roman" w:hAnsi="Times New Roman" w:cs="Times New Roman"/>
                <w:b/>
                <w:kern w:val="0"/>
                <w:sz w:val="20"/>
                <w:szCs w:val="20"/>
                <w:lang w:val="en-US" w:eastAsia="uk-UA"/>
                <w14:ligatures w14:val="none"/>
              </w:rPr>
              <w:t>АТ "Укрексiмбанк"</w:t>
            </w:r>
          </w:p>
        </w:tc>
      </w:tr>
      <w:tr w:rsidR="00537110" w:rsidRPr="00537110" w14:paraId="2AA814CB" w14:textId="77777777" w:rsidTr="00003686">
        <w:tc>
          <w:tcPr>
            <w:tcW w:w="4920" w:type="dxa"/>
            <w:tcMar>
              <w:top w:w="60" w:type="dxa"/>
              <w:left w:w="60" w:type="dxa"/>
              <w:bottom w:w="60" w:type="dxa"/>
              <w:right w:w="60" w:type="dxa"/>
            </w:tcMar>
          </w:tcPr>
          <w:p w14:paraId="095E3E4A"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5) МФО банку</w:t>
            </w:r>
          </w:p>
        </w:tc>
        <w:tc>
          <w:tcPr>
            <w:tcW w:w="5040" w:type="dxa"/>
          </w:tcPr>
          <w:p w14:paraId="7F884ABC"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322313</w:t>
            </w:r>
          </w:p>
        </w:tc>
      </w:tr>
      <w:tr w:rsidR="00537110" w:rsidRPr="00537110" w14:paraId="6D9A3F05" w14:textId="77777777" w:rsidTr="00003686">
        <w:tc>
          <w:tcPr>
            <w:tcW w:w="4920" w:type="dxa"/>
            <w:tcMar>
              <w:top w:w="60" w:type="dxa"/>
              <w:left w:w="60" w:type="dxa"/>
              <w:bottom w:w="60" w:type="dxa"/>
              <w:right w:w="60" w:type="dxa"/>
            </w:tcMar>
          </w:tcPr>
          <w:p w14:paraId="0D328B63" w14:textId="77777777" w:rsidR="00537110" w:rsidRPr="00537110" w:rsidRDefault="00537110" w:rsidP="00537110">
            <w:pPr>
              <w:spacing w:after="0" w:line="240" w:lineRule="auto"/>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6) Поточний рахунок</w:t>
            </w:r>
          </w:p>
        </w:tc>
        <w:tc>
          <w:tcPr>
            <w:tcW w:w="5040" w:type="dxa"/>
          </w:tcPr>
          <w:p w14:paraId="671A0E0F"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val="en-US" w:eastAsia="uk-UA"/>
                <w14:ligatures w14:val="none"/>
              </w:rPr>
              <w:t xml:space="preserve"> UA953223130000026002000007075</w:t>
            </w:r>
          </w:p>
        </w:tc>
      </w:tr>
    </w:tbl>
    <w:p w14:paraId="5170A065" w14:textId="77777777" w:rsidR="00537110" w:rsidRPr="00537110" w:rsidRDefault="00537110" w:rsidP="00537110">
      <w:pPr>
        <w:spacing w:after="0" w:line="240" w:lineRule="auto"/>
        <w:rPr>
          <w:rFonts w:ascii="Times New Roman" w:eastAsia="Times New Roman" w:hAnsi="Times New Roman" w:cs="Times New Roman"/>
          <w:kern w:val="0"/>
          <w:sz w:val="24"/>
          <w:szCs w:val="24"/>
          <w:lang w:val="ru-RU" w:eastAsia="uk-UA"/>
          <w14:ligatures w14:val="none"/>
        </w:rPr>
      </w:pPr>
    </w:p>
    <w:p w14:paraId="0572CE42" w14:textId="77777777" w:rsidR="00537110" w:rsidRDefault="00537110">
      <w:pPr>
        <w:sectPr w:rsidR="00537110" w:rsidSect="00FF69E1">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537110" w:rsidRPr="00537110" w14:paraId="06BA9B0B" w14:textId="77777777" w:rsidTr="00003686">
        <w:tc>
          <w:tcPr>
            <w:tcW w:w="15480" w:type="dxa"/>
            <w:tcMar>
              <w:top w:w="60" w:type="dxa"/>
              <w:left w:w="60" w:type="dxa"/>
              <w:bottom w:w="60" w:type="dxa"/>
              <w:right w:w="60" w:type="dxa"/>
            </w:tcMar>
            <w:vAlign w:val="center"/>
          </w:tcPr>
          <w:p w14:paraId="205F6536" w14:textId="77777777" w:rsidR="00537110" w:rsidRPr="00537110" w:rsidRDefault="00537110" w:rsidP="00537110">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537110">
              <w:rPr>
                <w:rFonts w:ascii="Times New Roman" w:eastAsia="Times New Roman" w:hAnsi="Times New Roman" w:cs="Times New Roman"/>
                <w:b/>
                <w:bCs/>
                <w:kern w:val="0"/>
                <w:sz w:val="28"/>
                <w:szCs w:val="28"/>
                <w:lang w:val="en-US" w:eastAsia="uk-UA"/>
                <w14:ligatures w14:val="none"/>
              </w:rPr>
              <w:lastRenderedPageBreak/>
              <w:t>IV</w:t>
            </w:r>
            <w:r w:rsidRPr="00537110">
              <w:rPr>
                <w:rFonts w:ascii="Times New Roman" w:eastAsia="Times New Roman" w:hAnsi="Times New Roman" w:cs="Times New Roman"/>
                <w:b/>
                <w:bCs/>
                <w:kern w:val="0"/>
                <w:sz w:val="28"/>
                <w:szCs w:val="28"/>
                <w:lang w:eastAsia="uk-UA"/>
                <w14:ligatures w14:val="none"/>
              </w:rPr>
              <w:t>. Інформація про одержані ліцензії на окремі види діяльності</w:t>
            </w:r>
          </w:p>
        </w:tc>
      </w:tr>
    </w:tbl>
    <w:p w14:paraId="3FDAA0FB"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537110" w:rsidRPr="00537110" w14:paraId="6FD1BC9D"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5E8890"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A9CBCF"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Номер ліцензії</w:t>
            </w:r>
            <w:r w:rsidRPr="00537110">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FCB9B0"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6C6795"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CEA662"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Дата закінчення дії ліцензії  (за наявності )</w:t>
            </w:r>
          </w:p>
        </w:tc>
      </w:tr>
      <w:tr w:rsidR="00537110" w:rsidRPr="00537110" w14:paraId="6A9048A2"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3DCA06"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7C23D1"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76E863"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BDE12C"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745290"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5</w:t>
            </w:r>
          </w:p>
        </w:tc>
      </w:tr>
      <w:tr w:rsidR="00537110" w:rsidRPr="00537110" w14:paraId="47A05609"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3F6564"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216E70"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4373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96B8F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19.09.2007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42ECB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80148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01.09.2036                                                                                          </w:t>
            </w:r>
          </w:p>
        </w:tc>
      </w:tr>
      <w:tr w:rsidR="00537110" w:rsidRPr="00537110" w14:paraId="5EB1A062"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116CAF"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0837879"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відсутній</w:t>
            </w:r>
          </w:p>
        </w:tc>
      </w:tr>
      <w:tr w:rsidR="00537110" w:rsidRPr="00537110" w14:paraId="51DD30FC"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62B50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C8B1A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4538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5520A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13.12.2007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D2623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0F813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13.12.2027                                                                                          </w:t>
            </w:r>
          </w:p>
        </w:tc>
      </w:tr>
      <w:tr w:rsidR="00537110" w:rsidRPr="00537110" w14:paraId="0837A687"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AD261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69BF5F5"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відсутній</w:t>
            </w:r>
          </w:p>
        </w:tc>
      </w:tr>
      <w:tr w:rsidR="00537110" w:rsidRPr="00537110" w14:paraId="3756F0F8"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FC397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34B14B"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5330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824CC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13.01.2011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C879E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F8BC2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13.01.2031                                                                                          </w:t>
            </w:r>
          </w:p>
        </w:tc>
      </w:tr>
      <w:tr w:rsidR="00537110" w:rsidRPr="00537110" w14:paraId="17193E5C"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673AE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C4B7D79"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відсутній</w:t>
            </w:r>
          </w:p>
        </w:tc>
      </w:tr>
      <w:tr w:rsidR="00537110" w:rsidRPr="00537110" w14:paraId="46E0FAD2"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7A1A20"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491B2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4745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A2DB9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22.10.2008</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CE190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A2E2BC"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27.02.2038                                                                                          </w:t>
            </w:r>
          </w:p>
        </w:tc>
      </w:tr>
      <w:tr w:rsidR="00537110" w:rsidRPr="00537110" w14:paraId="50132F4E"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0330CB"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73A1CE"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відсутній</w:t>
            </w:r>
          </w:p>
        </w:tc>
      </w:tr>
      <w:tr w:rsidR="00537110" w:rsidRPr="00537110" w14:paraId="7A4D0902"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0AAA84"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3C4200"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6571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BCCEBF"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54399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317B1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18.12.2027                                                                                          </w:t>
            </w:r>
          </w:p>
        </w:tc>
      </w:tr>
      <w:tr w:rsidR="00537110" w:rsidRPr="00537110" w14:paraId="5C953DAF"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5F8D2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4B6317D"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відсутній</w:t>
            </w:r>
          </w:p>
        </w:tc>
      </w:tr>
      <w:tr w:rsidR="00537110" w:rsidRPr="00537110" w14:paraId="01EF5520"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6C420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2E167B"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6570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2143E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36B8E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5F5FE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13.08.2035                                                                                          </w:t>
            </w:r>
          </w:p>
        </w:tc>
      </w:tr>
      <w:tr w:rsidR="00537110" w:rsidRPr="00537110" w14:paraId="63279CED"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A15A2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A0D8157"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відсутній</w:t>
            </w:r>
          </w:p>
        </w:tc>
      </w:tr>
      <w:tr w:rsidR="00537110" w:rsidRPr="00537110" w14:paraId="5450A699"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BC2464"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Геологічне вивчення, у т.ч. дослідно-промислова розробка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CCC036"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4736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F68DB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16.03.2016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A79BD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136D3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 xml:space="preserve">16.03.2026                                                                                          </w:t>
            </w:r>
          </w:p>
        </w:tc>
      </w:tr>
      <w:tr w:rsidR="00537110" w:rsidRPr="00537110" w14:paraId="1CDA9F46" w14:textId="77777777" w:rsidTr="0000368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14257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0EDC63B"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відсутній</w:t>
            </w:r>
          </w:p>
        </w:tc>
      </w:tr>
    </w:tbl>
    <w:p w14:paraId="0A1D121B"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4"/>
          <w:szCs w:val="24"/>
          <w:lang w:eastAsia="uk-UA"/>
          <w14:ligatures w14:val="none"/>
        </w:rPr>
      </w:pPr>
    </w:p>
    <w:p w14:paraId="184C48D6" w14:textId="77777777" w:rsidR="00537110" w:rsidRPr="00537110" w:rsidRDefault="00537110" w:rsidP="00537110">
      <w:pPr>
        <w:spacing w:after="0" w:line="240" w:lineRule="auto"/>
        <w:rPr>
          <w:rFonts w:ascii="Times New Roman" w:eastAsia="Times New Roman" w:hAnsi="Times New Roman" w:cs="Times New Roman"/>
          <w:kern w:val="0"/>
          <w:sz w:val="24"/>
          <w:szCs w:val="24"/>
          <w:lang w:eastAsia="uk-UA"/>
          <w14:ligatures w14:val="none"/>
        </w:rPr>
      </w:pPr>
    </w:p>
    <w:p w14:paraId="2DF97191" w14:textId="77777777" w:rsidR="00537110" w:rsidRDefault="00537110">
      <w:pPr>
        <w:sectPr w:rsidR="00537110" w:rsidSect="00FF69E1">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924"/>
      </w:tblGrid>
      <w:tr w:rsidR="00537110" w:rsidRPr="00537110" w14:paraId="6D6B4A70" w14:textId="77777777" w:rsidTr="00003686">
        <w:trPr>
          <w:trHeight w:val="421"/>
        </w:trPr>
        <w:tc>
          <w:tcPr>
            <w:tcW w:w="14144" w:type="dxa"/>
            <w:tcMar>
              <w:top w:w="60" w:type="dxa"/>
              <w:left w:w="60" w:type="dxa"/>
              <w:bottom w:w="60" w:type="dxa"/>
              <w:right w:w="60" w:type="dxa"/>
            </w:tcMar>
            <w:vAlign w:val="center"/>
          </w:tcPr>
          <w:tbl>
            <w:tblPr>
              <w:tblW w:w="14804" w:type="dxa"/>
              <w:tblCellMar>
                <w:top w:w="15" w:type="dxa"/>
                <w:left w:w="15" w:type="dxa"/>
                <w:bottom w:w="15" w:type="dxa"/>
                <w:right w:w="15" w:type="dxa"/>
              </w:tblCellMar>
              <w:tblLook w:val="0000" w:firstRow="0" w:lastRow="0" w:firstColumn="0" w:lastColumn="0" w:noHBand="0" w:noVBand="0"/>
            </w:tblPr>
            <w:tblGrid>
              <w:gridCol w:w="14804"/>
            </w:tblGrid>
            <w:tr w:rsidR="00537110" w:rsidRPr="00537110" w14:paraId="27906668" w14:textId="77777777" w:rsidTr="00003686">
              <w:trPr>
                <w:trHeight w:val="538"/>
              </w:trPr>
              <w:tc>
                <w:tcPr>
                  <w:tcW w:w="14804" w:type="dxa"/>
                  <w:tcMar>
                    <w:top w:w="60" w:type="dxa"/>
                    <w:left w:w="60" w:type="dxa"/>
                    <w:bottom w:w="60" w:type="dxa"/>
                    <w:right w:w="60" w:type="dxa"/>
                  </w:tcMar>
                  <w:vAlign w:val="center"/>
                </w:tcPr>
                <w:p w14:paraId="5586985F" w14:textId="77777777" w:rsidR="00537110" w:rsidRPr="00537110" w:rsidRDefault="00537110" w:rsidP="00537110">
                  <w:pPr>
                    <w:spacing w:after="0" w:line="240" w:lineRule="auto"/>
                    <w:ind w:left="-210" w:right="-2836"/>
                    <w:jc w:val="center"/>
                    <w:rPr>
                      <w:rFonts w:ascii="Times New Roman" w:eastAsia="Times New Roman" w:hAnsi="Times New Roman" w:cs="Times New Roman"/>
                      <w:b/>
                      <w:bCs/>
                      <w:kern w:val="0"/>
                      <w:sz w:val="28"/>
                      <w:szCs w:val="28"/>
                      <w:lang w:eastAsia="uk-UA"/>
                      <w14:ligatures w14:val="none"/>
                    </w:rPr>
                  </w:pPr>
                  <w:r w:rsidRPr="00537110">
                    <w:rPr>
                      <w:rFonts w:ascii="Times New Roman" w:eastAsia="Times New Roman" w:hAnsi="Times New Roman" w:cs="Times New Roman"/>
                      <w:b/>
                      <w:color w:val="000000"/>
                      <w:kern w:val="0"/>
                      <w:sz w:val="28"/>
                      <w:szCs w:val="28"/>
                      <w:lang w:val="en-US" w:eastAsia="uk-UA"/>
                      <w14:ligatures w14:val="none"/>
                    </w:rPr>
                    <w:lastRenderedPageBreak/>
                    <w:t>V</w:t>
                  </w:r>
                  <w:r w:rsidRPr="00537110">
                    <w:rPr>
                      <w:rFonts w:ascii="Times New Roman" w:eastAsia="Times New Roman" w:hAnsi="Times New Roman" w:cs="Times New Roman"/>
                      <w:b/>
                      <w:color w:val="000000"/>
                      <w:kern w:val="0"/>
                      <w:sz w:val="28"/>
                      <w:szCs w:val="28"/>
                      <w:lang w:eastAsia="uk-UA"/>
                      <w14:ligatures w14:val="none"/>
                    </w:rPr>
                    <w:t>. Інформація про посадових осіб емітента</w:t>
                  </w:r>
                </w:p>
              </w:tc>
            </w:tr>
          </w:tbl>
          <w:p w14:paraId="69B55ADA" w14:textId="77777777" w:rsidR="00537110" w:rsidRPr="00537110" w:rsidRDefault="00537110" w:rsidP="00537110">
            <w:pPr>
              <w:spacing w:after="0" w:line="240" w:lineRule="auto"/>
              <w:rPr>
                <w:rFonts w:ascii="Times New Roman" w:eastAsia="Times New Roman" w:hAnsi="Times New Roman" w:cs="Times New Roman"/>
                <w:b/>
                <w:bCs/>
                <w:kern w:val="0"/>
                <w:sz w:val="24"/>
                <w:szCs w:val="24"/>
                <w:lang w:eastAsia="uk-UA"/>
                <w14:ligatures w14:val="none"/>
              </w:rPr>
            </w:pPr>
          </w:p>
        </w:tc>
      </w:tr>
    </w:tbl>
    <w:p w14:paraId="4813A472" w14:textId="77777777" w:rsidR="00537110" w:rsidRPr="00537110" w:rsidRDefault="00537110" w:rsidP="00537110">
      <w:pPr>
        <w:spacing w:after="0" w:line="240" w:lineRule="auto"/>
        <w:rPr>
          <w:rFonts w:ascii="Times New Roman" w:eastAsia="Times New Roman" w:hAnsi="Times New Roman" w:cs="Times New Roman"/>
          <w:vanish/>
          <w:kern w:val="0"/>
          <w:sz w:val="24"/>
          <w:szCs w:val="24"/>
          <w:lang w:eastAsia="uk-UA"/>
          <w14:ligatures w14:val="none"/>
        </w:rPr>
      </w:pPr>
    </w:p>
    <w:tbl>
      <w:tblPr>
        <w:tblW w:w="15538"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706"/>
        <w:gridCol w:w="3614"/>
        <w:gridCol w:w="746"/>
        <w:gridCol w:w="3615"/>
        <w:gridCol w:w="941"/>
        <w:gridCol w:w="3348"/>
      </w:tblGrid>
      <w:tr w:rsidR="00537110" w:rsidRPr="00537110" w14:paraId="6DC409A7" w14:textId="77777777" w:rsidTr="00003686">
        <w:trPr>
          <w:trHeight w:val="984"/>
        </w:trPr>
        <w:tc>
          <w:tcPr>
            <w:tcW w:w="568" w:type="dxa"/>
            <w:tcBorders>
              <w:top w:val="single" w:sz="6" w:space="0" w:color="000000"/>
              <w:left w:val="single" w:sz="6" w:space="0" w:color="000000"/>
              <w:bottom w:val="single" w:sz="6" w:space="0" w:color="000000"/>
              <w:right w:val="single" w:sz="6" w:space="0" w:color="000000"/>
            </w:tcBorders>
            <w:vAlign w:val="center"/>
          </w:tcPr>
          <w:p w14:paraId="349889B3"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w:t>
            </w:r>
          </w:p>
          <w:p w14:paraId="5AE75B29"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з/п</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A12A81" w14:textId="77777777" w:rsidR="00537110" w:rsidRPr="00537110" w:rsidRDefault="00537110" w:rsidP="00537110">
            <w:pPr>
              <w:tabs>
                <w:tab w:val="left" w:pos="214"/>
              </w:tabs>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Посада</w:t>
            </w:r>
          </w:p>
        </w:tc>
        <w:tc>
          <w:tcPr>
            <w:tcW w:w="3614"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59E8854E"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 xml:space="preserve">Прізвище, ім'я, по батькові </w:t>
            </w:r>
            <w:bookmarkStart w:id="0" w:name="10109"/>
            <w:bookmarkEnd w:id="0"/>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4EF7A6"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Рік народження</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7F6DE1"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Освіта</w:t>
            </w:r>
          </w:p>
        </w:tc>
        <w:tc>
          <w:tcPr>
            <w:tcW w:w="941"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BA70AA8"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Стаж роботи (років)</w:t>
            </w:r>
          </w:p>
        </w:tc>
        <w:tc>
          <w:tcPr>
            <w:tcW w:w="3348" w:type="dxa"/>
            <w:tcBorders>
              <w:top w:val="single" w:sz="6" w:space="0" w:color="000000"/>
              <w:left w:val="single" w:sz="6" w:space="0" w:color="000000"/>
              <w:right w:val="single" w:sz="6" w:space="0" w:color="000000"/>
            </w:tcBorders>
            <w:vAlign w:val="center"/>
          </w:tcPr>
          <w:p w14:paraId="0250B889"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 xml:space="preserve">  Найменування підприємства, ідентифікаційний код юридичної особи та посада, яку займав </w:t>
            </w:r>
          </w:p>
        </w:tc>
      </w:tr>
      <w:tr w:rsidR="00537110" w:rsidRPr="00537110" w14:paraId="7B902446"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4B33A1E"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C9516A"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2</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45120B"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3</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D21539"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8514C1"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5</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7A236D"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ADFB58"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7</w:t>
            </w:r>
          </w:p>
        </w:tc>
      </w:tr>
      <w:tr w:rsidR="00537110" w:rsidRPr="00537110" w14:paraId="781013F6"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3CC924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15A45C"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Заступник голови правління з транспорту і транспортної логістики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4F381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Дубас Іван Богданович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27759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1973</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D6F45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68FA0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28</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4C0C5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ПрАТ "Iвано-Франкiвськцемент"</w:t>
            </w:r>
          </w:p>
          <w:p w14:paraId="1482823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6DC9F6DB"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Директор з транспорту і транспортної логістики</w:t>
            </w:r>
          </w:p>
        </w:tc>
      </w:tr>
      <w:tr w:rsidR="00537110" w:rsidRPr="00537110" w14:paraId="0DF2270E"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BDAAD7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F3E8E9F"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Непогашеної судимостi за корисливi та посадовi злочини не має</w:t>
            </w:r>
          </w:p>
        </w:tc>
      </w:tr>
      <w:tr w:rsidR="00537110" w:rsidRPr="00537110" w14:paraId="59D835E8"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DD10DE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0EBA7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13805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Лютий Василь Iванович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2FEDE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1955</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C6EF1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CF315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47</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A4339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ПАТ "Iвано-Франкiвськцемент"</w:t>
            </w:r>
          </w:p>
          <w:p w14:paraId="075CEE9F"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133B026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Член правлiння та член наглядової ради Товариства</w:t>
            </w:r>
          </w:p>
        </w:tc>
      </w:tr>
      <w:tr w:rsidR="00537110" w:rsidRPr="00537110" w14:paraId="56DAA4F5"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698F53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50473C8"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всiєю поточною дiяльнiстю товариства. Розмiр виплаченої винагороди  - за контрактом.  Непогашеної судимостi за корисливi та посадовi злочини не має.</w:t>
            </w:r>
          </w:p>
        </w:tc>
      </w:tr>
      <w:tr w:rsidR="00537110" w:rsidRPr="00537110" w14:paraId="5617FEDD"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CF73B06"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3</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A01DDC"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A6621B"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Городецький Михайло Iванович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0E6FD6"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1970</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E55044"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450D4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35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1B4F0F"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ТОВ "Iвано-Франкiвськцемент-етернiт"</w:t>
            </w:r>
          </w:p>
          <w:p w14:paraId="4CB4CC5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34436257</w:t>
            </w:r>
          </w:p>
          <w:p w14:paraId="4F10E46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Головний бухгалтер</w:t>
            </w:r>
          </w:p>
        </w:tc>
      </w:tr>
      <w:tr w:rsidR="00537110" w:rsidRPr="00537110" w14:paraId="1375B06C"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199593F"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301B47C"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всiєю поточною дiяльнiстю товариства. Розмiр виплаченої винагороди  - за контрактом. Непогашеної судимостi за корисливi та посадовi злочини не має</w:t>
            </w:r>
          </w:p>
        </w:tc>
      </w:tr>
      <w:tr w:rsidR="00537110" w:rsidRPr="00537110" w14:paraId="3AA8541E"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4FDDBA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4</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DF7266"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Голова правлiння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3494C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Круць Микола Федорович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3BD14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1952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D8AC3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52C95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52</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03CE66"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ПАТ "Iвано-Франкiвськцемент"</w:t>
            </w:r>
          </w:p>
          <w:p w14:paraId="1C120230"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79EAAAD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Голова наглядової ради Товариства.</w:t>
            </w:r>
          </w:p>
        </w:tc>
      </w:tr>
      <w:tr w:rsidR="00537110" w:rsidRPr="00537110" w14:paraId="5D3C5F4C"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6AFD94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32FD649"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537110" w:rsidRPr="00537110" w14:paraId="52444054"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020C9F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5</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F0F40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CE8E9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Круць Галина Федорiвна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409C0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1959</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AEB7B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CA0AE0"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46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0FDEDF"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ПАТ "Iвано-Франкiвськцемент"</w:t>
            </w:r>
          </w:p>
          <w:p w14:paraId="24E5E8A4"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231AB2A6"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Член наглядової ради Товариства.</w:t>
            </w:r>
          </w:p>
        </w:tc>
      </w:tr>
      <w:tr w:rsidR="00537110" w:rsidRPr="00537110" w14:paraId="7DC15766"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F64AEEF"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lastRenderedPageBreak/>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497C72F"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537110" w:rsidRPr="00537110" w14:paraId="5988D8C9"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D42D1AC"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6</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72A9C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E8C9C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Скрип'юк Богдан Федорович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90D85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1957</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C94D2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A214E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42</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07F22B"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ПАТ "Iвано-Франкiвськцемент"</w:t>
            </w:r>
          </w:p>
          <w:p w14:paraId="05E1FF24"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4A05BF4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Член наглядової ради Товариства.</w:t>
            </w:r>
          </w:p>
        </w:tc>
      </w:tr>
      <w:tr w:rsidR="00537110" w:rsidRPr="00537110" w14:paraId="2C62DCAB"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1F1702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6699AC2"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537110" w:rsidRPr="00537110" w14:paraId="72E5B6EC"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7B85DF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7</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F8CDE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Член правлiння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FEF6B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Маковiйчук Микола Васильович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4BE3B6"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1968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6B820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690AC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35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CE8CB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ПАТ "Івано-Франківськцемент"</w:t>
            </w:r>
          </w:p>
          <w:p w14:paraId="44FA2DD0"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4CBC67C4"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Директор з виробництва</w:t>
            </w:r>
          </w:p>
        </w:tc>
      </w:tr>
      <w:tr w:rsidR="00537110" w:rsidRPr="00537110" w14:paraId="7507BABA"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1A76B1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EC3B51C"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537110" w:rsidRPr="00537110" w14:paraId="77013029"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4935D5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8</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6FCE0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40E2E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Воробець Володимир Ярославович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4E70E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1974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4DD00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32069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28</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33A03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ПАТ "Iвано-Франкiвськцемент"</w:t>
            </w:r>
          </w:p>
          <w:p w14:paraId="7D96B4F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19A8ACF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Член наглядової ради Товариства.</w:t>
            </w:r>
          </w:p>
        </w:tc>
      </w:tr>
      <w:tr w:rsidR="00537110" w:rsidRPr="00537110" w14:paraId="00460FEC"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3A1955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8EA5183"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537110" w:rsidRPr="00537110" w14:paraId="07827B3E"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ADD717B"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9</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573D9F"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Заступник голови правління з інформаційних технологій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E3DEF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Дмитраш Андрій Миколайович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EE952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1972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DC11B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вища</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9F930F" w14:textId="2F28F9B7" w:rsidR="00537110" w:rsidRPr="00537110" w:rsidRDefault="0023454E"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Pr>
                <w:rFonts w:ascii="Times New Roman" w:eastAsia="Times New Roman" w:hAnsi="Times New Roman" w:cs="Times New Roman"/>
                <w:bCs/>
                <w:kern w:val="0"/>
                <w:sz w:val="20"/>
                <w:szCs w:val="20"/>
                <w:lang w:val="en-US" w:eastAsia="uk-UA"/>
                <w14:ligatures w14:val="none"/>
              </w:rPr>
              <w:t>29</w:t>
            </w:r>
            <w:r w:rsidR="00537110" w:rsidRPr="00537110">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D9858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ПрАТ "Iвано-Франкiвськцемент"</w:t>
            </w:r>
          </w:p>
          <w:p w14:paraId="30E49F8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4DC7DD5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Начальник управління інформаційних технологій</w:t>
            </w:r>
          </w:p>
        </w:tc>
      </w:tr>
      <w:tr w:rsidR="00537110" w:rsidRPr="00537110" w14:paraId="786B3A48"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3BEB4F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6305CF7"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537110" w:rsidRPr="00537110" w14:paraId="104A538B"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4A7D21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10</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33B8F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 Заступник голови правління з будівництва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4B91D4"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Кулик Олег Зіновійович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26518C"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1978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13586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вища</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333A85" w14:textId="652278DC" w:rsidR="00537110" w:rsidRPr="00537110" w:rsidRDefault="0023454E"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Pr>
                <w:rFonts w:ascii="Times New Roman" w:eastAsia="Times New Roman" w:hAnsi="Times New Roman" w:cs="Times New Roman"/>
                <w:bCs/>
                <w:kern w:val="0"/>
                <w:sz w:val="20"/>
                <w:szCs w:val="20"/>
                <w:lang w:val="en-US" w:eastAsia="uk-UA"/>
                <w14:ligatures w14:val="none"/>
              </w:rPr>
              <w:t>23</w:t>
            </w:r>
            <w:r w:rsidR="00537110" w:rsidRPr="00537110">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589E4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ТОВ "Івано-Франківськ-Гіпс"</w:t>
            </w:r>
          </w:p>
          <w:p w14:paraId="0ABD498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43632419</w:t>
            </w:r>
          </w:p>
          <w:p w14:paraId="1ABAEE0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директор</w:t>
            </w:r>
          </w:p>
        </w:tc>
      </w:tr>
      <w:tr w:rsidR="00537110" w:rsidRPr="00537110" w14:paraId="7766A196"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E73BC8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914A0B9"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Непогашеної судимостi за корисливi та посадовi злочини не має</w:t>
            </w:r>
          </w:p>
        </w:tc>
      </w:tr>
      <w:tr w:rsidR="00537110" w:rsidRPr="00537110" w14:paraId="1F780221"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751E32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849CD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Заступник голови правління із земельних ресурсів та надрокористування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81FB7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Мушинський Василь Михайлович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98B468"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1971</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4DF21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вища</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4E37CC" w14:textId="530560D5" w:rsidR="00537110" w:rsidRPr="00537110" w:rsidRDefault="0023454E"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Pr>
                <w:rFonts w:ascii="Times New Roman" w:eastAsia="Times New Roman" w:hAnsi="Times New Roman" w:cs="Times New Roman"/>
                <w:bCs/>
                <w:kern w:val="0"/>
                <w:sz w:val="20"/>
                <w:szCs w:val="20"/>
                <w:lang w:val="en-US" w:eastAsia="uk-UA"/>
                <w14:ligatures w14:val="none"/>
              </w:rPr>
              <w:t>29</w:t>
            </w:r>
            <w:r w:rsidR="00537110" w:rsidRPr="00537110">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BF713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ПрАТ "Iвано-Франкiвськцемент"</w:t>
            </w:r>
          </w:p>
          <w:p w14:paraId="2E67183C"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441973B0"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Начальник управління земельних ресурсів та надрокористування</w:t>
            </w:r>
          </w:p>
        </w:tc>
      </w:tr>
      <w:tr w:rsidR="00537110" w:rsidRPr="00537110" w14:paraId="67835B22"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9F661A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C0C8627"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537110" w:rsidRPr="00537110" w14:paraId="72334453"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54C26C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lastRenderedPageBreak/>
              <w:t>12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79858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Заступник голови правління з регіонального розвитку виробництва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054E7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 xml:space="preserve">Гаєвий Андрій Юрійович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9FCF5A"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1981</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E251F1"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вища</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6E3E67" w14:textId="47F86FA7" w:rsidR="00537110" w:rsidRPr="00537110" w:rsidRDefault="0023454E"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Pr>
                <w:rFonts w:ascii="Times New Roman" w:eastAsia="Times New Roman" w:hAnsi="Times New Roman" w:cs="Times New Roman"/>
                <w:bCs/>
                <w:kern w:val="0"/>
                <w:sz w:val="20"/>
                <w:szCs w:val="20"/>
                <w:lang w:val="en-US" w:eastAsia="uk-UA"/>
                <w14:ligatures w14:val="none"/>
              </w:rPr>
              <w:t>18</w:t>
            </w:r>
            <w:r w:rsidR="00537110" w:rsidRPr="00537110">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5CCF1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ПрАТ "Iвано-Франкiвськцемент"</w:t>
            </w:r>
          </w:p>
          <w:p w14:paraId="5180B90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00292988</w:t>
            </w:r>
          </w:p>
          <w:p w14:paraId="524668E7"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Начальник філії "Термінал"</w:t>
            </w:r>
          </w:p>
        </w:tc>
      </w:tr>
      <w:tr w:rsidR="00537110" w:rsidRPr="00537110" w14:paraId="091506A2" w14:textId="77777777" w:rsidTr="0000368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3D11F4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8A91199" w14:textId="77777777" w:rsidR="00537110" w:rsidRPr="00537110" w:rsidRDefault="00537110" w:rsidP="00537110">
            <w:pPr>
              <w:spacing w:after="0" w:line="240" w:lineRule="auto"/>
              <w:rPr>
                <w:rFonts w:ascii="Times New Roman" w:eastAsia="Times New Roman" w:hAnsi="Times New Roman" w:cs="Times New Roman"/>
                <w:bCs/>
                <w:kern w:val="0"/>
                <w:sz w:val="20"/>
                <w:szCs w:val="20"/>
                <w:lang w:val="en-US" w:eastAsia="uk-UA"/>
                <w14:ligatures w14:val="none"/>
              </w:rPr>
            </w:pPr>
            <w:r w:rsidRPr="00537110">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bl>
    <w:p w14:paraId="06AC25A2" w14:textId="77777777" w:rsidR="00537110" w:rsidRPr="00537110" w:rsidRDefault="00537110" w:rsidP="00537110">
      <w:pPr>
        <w:spacing w:after="0" w:line="240" w:lineRule="auto"/>
        <w:ind w:left="-142" w:right="-11"/>
        <w:rPr>
          <w:rFonts w:ascii="Times New Roman" w:eastAsia="Times New Roman" w:hAnsi="Times New Roman" w:cs="Times New Roman"/>
          <w:kern w:val="0"/>
          <w:sz w:val="24"/>
          <w:szCs w:val="24"/>
          <w:lang w:val="en-US" w:eastAsia="uk-UA"/>
          <w14:ligatures w14:val="none"/>
        </w:rPr>
      </w:pPr>
    </w:p>
    <w:p w14:paraId="14FB7044" w14:textId="77777777" w:rsidR="00537110" w:rsidRPr="00537110" w:rsidRDefault="00537110" w:rsidP="00537110">
      <w:pPr>
        <w:spacing w:after="300" w:line="240" w:lineRule="auto"/>
        <w:ind w:left="180" w:hanging="180"/>
        <w:jc w:val="center"/>
        <w:outlineLvl w:val="2"/>
        <w:rPr>
          <w:rFonts w:ascii="Times New Roman" w:eastAsia="Times New Roman" w:hAnsi="Times New Roman" w:cs="Times New Roman"/>
          <w:b/>
          <w:bCs/>
          <w:color w:val="000000"/>
          <w:kern w:val="0"/>
          <w:sz w:val="28"/>
          <w:szCs w:val="28"/>
          <w:lang w:eastAsia="uk-UA"/>
          <w14:ligatures w14:val="none"/>
        </w:rPr>
      </w:pPr>
      <w:r w:rsidRPr="00537110">
        <w:rPr>
          <w:rFonts w:ascii="Times New Roman" w:eastAsia="Times New Roman" w:hAnsi="Times New Roman" w:cs="Times New Roman"/>
          <w:b/>
          <w:bCs/>
          <w:color w:val="000000"/>
          <w:kern w:val="0"/>
          <w:sz w:val="28"/>
          <w:szCs w:val="28"/>
          <w:lang w:val="en-US" w:eastAsia="uk-UA"/>
          <w14:ligatures w14:val="none"/>
        </w:rPr>
        <w:t>VII</w:t>
      </w:r>
      <w:r w:rsidRPr="00537110">
        <w:rPr>
          <w:rFonts w:ascii="Times New Roman" w:eastAsia="Times New Roman" w:hAnsi="Times New Roman" w:cs="Times New Roman"/>
          <w:b/>
          <w:bCs/>
          <w:color w:val="000000"/>
          <w:kern w:val="0"/>
          <w:sz w:val="28"/>
          <w:szCs w:val="28"/>
          <w:lang w:eastAsia="uk-UA"/>
          <w14:ligatures w14:val="none"/>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537110" w:rsidRPr="00537110" w14:paraId="06A7743C" w14:textId="77777777" w:rsidTr="00003686">
        <w:trPr>
          <w:trHeight w:val="224"/>
        </w:trPr>
        <w:tc>
          <w:tcPr>
            <w:tcW w:w="15855" w:type="dxa"/>
            <w:tcMar>
              <w:top w:w="60" w:type="dxa"/>
              <w:left w:w="60" w:type="dxa"/>
              <w:bottom w:w="60" w:type="dxa"/>
              <w:right w:w="60" w:type="dxa"/>
            </w:tcMar>
            <w:vAlign w:val="center"/>
          </w:tcPr>
          <w:p w14:paraId="0D0EAA49" w14:textId="77777777" w:rsidR="00537110" w:rsidRPr="00537110" w:rsidRDefault="00537110" w:rsidP="00537110">
            <w:pPr>
              <w:spacing w:after="0" w:line="240" w:lineRule="auto"/>
              <w:rPr>
                <w:rFonts w:ascii="Times New Roman" w:eastAsia="Times New Roman" w:hAnsi="Times New Roman" w:cs="Times New Roman"/>
                <w:b/>
                <w:bCs/>
                <w:kern w:val="0"/>
                <w:sz w:val="24"/>
                <w:szCs w:val="24"/>
                <w:lang w:eastAsia="uk-UA"/>
                <w14:ligatures w14:val="none"/>
              </w:rPr>
            </w:pPr>
            <w:r w:rsidRPr="00537110">
              <w:rPr>
                <w:rFonts w:ascii="Times New Roman" w:eastAsia="Times New Roman" w:hAnsi="Times New Roman" w:cs="Times New Roman"/>
                <w:b/>
                <w:bCs/>
                <w:kern w:val="0"/>
                <w:sz w:val="24"/>
                <w:szCs w:val="24"/>
                <w:lang w:eastAsia="uk-UA"/>
                <w14:ligatures w14:val="none"/>
              </w:rPr>
              <w:t>1. Інформація про випуски акцій</w:t>
            </w:r>
          </w:p>
        </w:tc>
      </w:tr>
    </w:tbl>
    <w:p w14:paraId="6122E0BC"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537110" w:rsidRPr="00537110" w14:paraId="211B5229" w14:textId="77777777" w:rsidTr="0000368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147C51" w14:textId="77777777" w:rsidR="00537110" w:rsidRPr="00537110" w:rsidRDefault="00537110" w:rsidP="00537110">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F1F81B"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C804FD"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744E4D"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ECCB7E"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4793B7"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FA9F62"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C14C85"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A13C97"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9E687C"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Частка у статутному капіталі (у відсотках)</w:t>
            </w:r>
          </w:p>
        </w:tc>
      </w:tr>
      <w:tr w:rsidR="00537110" w:rsidRPr="00537110" w14:paraId="2F385468" w14:textId="77777777" w:rsidTr="0000368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2BC510"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33CC4F"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31AFD7"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33AD57"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8D9B1A"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840CA2"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E59B08"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798F98"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86A6A5"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B3B51F"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10</w:t>
            </w:r>
          </w:p>
        </w:tc>
      </w:tr>
      <w:tr w:rsidR="00537110" w:rsidRPr="00537110" w14:paraId="540790AD" w14:textId="77777777" w:rsidTr="0000368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0AF412"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01.12.2010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422BA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1122/1/10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91B30F"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НКЦПФР</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8F16EC"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UA4000170070</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6F4FB9"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524CF0"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5E8023"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100.00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66763D"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1331315</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D2CC7E"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133131500.00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FBC6D5" w14:textId="77777777" w:rsidR="00537110" w:rsidRPr="00537110" w:rsidRDefault="00537110" w:rsidP="00537110">
            <w:pPr>
              <w:spacing w:after="0" w:line="240" w:lineRule="auto"/>
              <w:jc w:val="center"/>
              <w:rPr>
                <w:rFonts w:ascii="Times New Roman" w:eastAsia="Times New Roman" w:hAnsi="Times New Roman" w:cs="Times New Roman"/>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100.000000000000</w:t>
            </w:r>
          </w:p>
        </w:tc>
      </w:tr>
      <w:tr w:rsidR="00537110" w:rsidRPr="00537110" w14:paraId="65130E37" w14:textId="77777777" w:rsidTr="0000368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4618A3"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92BEC3F" w14:textId="77777777" w:rsidR="00537110" w:rsidRPr="00537110" w:rsidRDefault="00537110" w:rsidP="00537110">
            <w:pPr>
              <w:spacing w:after="0" w:line="240" w:lineRule="auto"/>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Cs/>
                <w:kern w:val="0"/>
                <w:sz w:val="20"/>
                <w:szCs w:val="20"/>
                <w:lang w:eastAsia="uk-UA"/>
                <w14:ligatures w14:val="none"/>
              </w:rPr>
              <w:t>Цiннi папери Емiтента на органiзацiйно оформлених ринках не обертаються. Заяви для включення цiнних паперiв до лiстингу Емiтентом не подавались. Обiг цiнних паперiв Емiтента здiйснюється лише на внутрiшньому ринку України. Товариство здiйснило випуск простих iменних акцiй, iншi цiннi папери Товариством не випускались.</w:t>
            </w:r>
          </w:p>
        </w:tc>
      </w:tr>
    </w:tbl>
    <w:p w14:paraId="27155250" w14:textId="77777777" w:rsidR="00537110" w:rsidRPr="00537110" w:rsidRDefault="00537110" w:rsidP="00537110">
      <w:pPr>
        <w:spacing w:after="0" w:line="240" w:lineRule="auto"/>
        <w:rPr>
          <w:rFonts w:ascii="Times New Roman" w:eastAsia="Times New Roman" w:hAnsi="Times New Roman" w:cs="Times New Roman"/>
          <w:kern w:val="0"/>
          <w:sz w:val="24"/>
          <w:szCs w:val="24"/>
          <w:lang w:eastAsia="uk-UA"/>
          <w14:ligatures w14:val="none"/>
        </w:rPr>
      </w:pPr>
    </w:p>
    <w:p w14:paraId="765C12F4" w14:textId="77777777" w:rsidR="00537110" w:rsidRDefault="00537110">
      <w:pPr>
        <w:sectPr w:rsidR="00537110" w:rsidSect="00FF69E1">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537110" w:rsidRPr="00537110" w14:paraId="2AC6FD60" w14:textId="77777777" w:rsidTr="00003686">
        <w:tc>
          <w:tcPr>
            <w:tcW w:w="9720" w:type="dxa"/>
            <w:tcMar>
              <w:top w:w="60" w:type="dxa"/>
              <w:left w:w="60" w:type="dxa"/>
              <w:bottom w:w="60" w:type="dxa"/>
              <w:right w:w="60" w:type="dxa"/>
            </w:tcMar>
            <w:vAlign w:val="center"/>
          </w:tcPr>
          <w:p w14:paraId="45500B1C" w14:textId="77777777" w:rsidR="00537110" w:rsidRPr="00537110" w:rsidRDefault="00537110" w:rsidP="00537110">
            <w:pPr>
              <w:spacing w:after="0" w:line="240" w:lineRule="auto"/>
              <w:ind w:left="-210"/>
              <w:jc w:val="center"/>
              <w:rPr>
                <w:rFonts w:ascii="Times New Roman" w:eastAsia="Times New Roman" w:hAnsi="Times New Roman" w:cs="Times New Roman"/>
                <w:b/>
                <w:bCs/>
                <w:kern w:val="0"/>
                <w:sz w:val="24"/>
                <w:szCs w:val="24"/>
                <w:lang w:eastAsia="uk-UA"/>
                <w14:ligatures w14:val="none"/>
              </w:rPr>
            </w:pPr>
            <w:r w:rsidRPr="00537110">
              <w:rPr>
                <w:rFonts w:ascii="Times New Roman" w:eastAsia="Times New Roman" w:hAnsi="Times New Roman" w:cs="Times New Roman"/>
                <w:b/>
                <w:bCs/>
                <w:kern w:val="0"/>
                <w:sz w:val="24"/>
                <w:szCs w:val="24"/>
                <w:lang w:val="en-US" w:eastAsia="uk-UA"/>
                <w14:ligatures w14:val="none"/>
              </w:rPr>
              <w:lastRenderedPageBreak/>
              <w:t>VIII</w:t>
            </w:r>
            <w:r w:rsidRPr="00537110">
              <w:rPr>
                <w:rFonts w:ascii="Times New Roman" w:eastAsia="Times New Roman" w:hAnsi="Times New Roman" w:cs="Times New Roman"/>
                <w:b/>
                <w:bCs/>
                <w:kern w:val="0"/>
                <w:sz w:val="24"/>
                <w:szCs w:val="24"/>
                <w:lang w:eastAsia="uk-UA"/>
                <w14:ligatures w14:val="none"/>
              </w:rPr>
              <w:t xml:space="preserve">. </w:t>
            </w:r>
            <w:r w:rsidRPr="00537110">
              <w:rPr>
                <w:rFonts w:ascii="Times New Roman" w:eastAsia="Times New Roman" w:hAnsi="Times New Roman" w:cs="Times New Roman"/>
                <w:b/>
                <w:bCs/>
                <w:color w:val="000000"/>
                <w:kern w:val="0"/>
                <w:sz w:val="24"/>
                <w:szCs w:val="24"/>
                <w:lang w:eastAsia="uk-UA"/>
                <w14:ligatures w14:val="none"/>
              </w:rPr>
              <w:t>Відомості щодо участі емітента у юридичних особах</w:t>
            </w:r>
          </w:p>
        </w:tc>
      </w:tr>
    </w:tbl>
    <w:p w14:paraId="2EF31B4D"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4"/>
          <w:szCs w:val="24"/>
          <w:lang w:eastAsia="uk-UA"/>
          <w14:ligatures w14:val="none"/>
        </w:rPr>
      </w:pPr>
    </w:p>
    <w:p w14:paraId="3F6B2121"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4"/>
          <w:szCs w:val="24"/>
          <w:lang w:eastAsia="uk-UA"/>
          <w14:ligatures w14:val="none"/>
        </w:rPr>
      </w:pPr>
    </w:p>
    <w:p w14:paraId="0BE2C5C2" w14:textId="77777777" w:rsidR="00537110" w:rsidRPr="00537110" w:rsidRDefault="00537110" w:rsidP="00537110">
      <w:pPr>
        <w:spacing w:after="0" w:line="240" w:lineRule="auto"/>
        <w:rPr>
          <w:rFonts w:ascii="Times New Roman" w:eastAsia="Times New Roman" w:hAnsi="Times New Roman" w:cs="Times New Roman"/>
          <w:kern w:val="0"/>
          <w:sz w:val="24"/>
          <w:szCs w:val="24"/>
          <w:lang w:eastAsia="uk-UA"/>
          <w14:ligatures w14:val="none"/>
        </w:rPr>
      </w:pPr>
    </w:p>
    <w:p w14:paraId="15C963FE" w14:textId="77777777" w:rsidR="00537110" w:rsidRPr="00537110" w:rsidRDefault="00537110" w:rsidP="00537110">
      <w:pPr>
        <w:spacing w:after="0" w:line="240" w:lineRule="auto"/>
        <w:rPr>
          <w:rFonts w:ascii="Times New Roman" w:eastAsia="Times New Roman" w:hAnsi="Times New Roman" w:cs="Times New Roman"/>
          <w:kern w:val="0"/>
          <w:sz w:val="24"/>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537110" w:rsidRPr="00537110" w14:paraId="680511A5" w14:textId="77777777" w:rsidTr="00003686">
        <w:tc>
          <w:tcPr>
            <w:tcW w:w="2834" w:type="dxa"/>
            <w:shd w:val="clear" w:color="auto" w:fill="auto"/>
          </w:tcPr>
          <w:p w14:paraId="6A0DC9CF"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2E03EF6E"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ТОВ "АГРОНОВТЕХ"</w:t>
            </w:r>
          </w:p>
        </w:tc>
      </w:tr>
      <w:tr w:rsidR="00537110" w:rsidRPr="00537110" w14:paraId="280160F3" w14:textId="77777777" w:rsidTr="00003686">
        <w:tc>
          <w:tcPr>
            <w:tcW w:w="2834" w:type="dxa"/>
            <w:shd w:val="clear" w:color="auto" w:fill="auto"/>
          </w:tcPr>
          <w:p w14:paraId="2582DA1C"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27F61E9E"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Товариство з обмеженою вiдповiдальнiстю</w:t>
            </w:r>
          </w:p>
        </w:tc>
      </w:tr>
      <w:tr w:rsidR="00537110" w:rsidRPr="00537110" w14:paraId="03EFA48B" w14:textId="77777777" w:rsidTr="00003686">
        <w:tc>
          <w:tcPr>
            <w:tcW w:w="2834" w:type="dxa"/>
            <w:shd w:val="clear" w:color="auto" w:fill="auto"/>
          </w:tcPr>
          <w:p w14:paraId="57F1240A"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590084B3"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13642208</w:t>
            </w:r>
          </w:p>
        </w:tc>
      </w:tr>
      <w:tr w:rsidR="00537110" w:rsidRPr="00537110" w14:paraId="401E29DF" w14:textId="77777777" w:rsidTr="00003686">
        <w:tc>
          <w:tcPr>
            <w:tcW w:w="2834" w:type="dxa"/>
            <w:shd w:val="clear" w:color="auto" w:fill="auto"/>
          </w:tcPr>
          <w:p w14:paraId="1B880FFC"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4DDA05D2"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77422, Iвано-Франкiвська обл.Тисменицький р-н,с.Ямниця</w:t>
            </w:r>
          </w:p>
        </w:tc>
      </w:tr>
      <w:tr w:rsidR="00537110" w:rsidRPr="00537110" w14:paraId="4B3CE57E" w14:textId="77777777" w:rsidTr="00003686">
        <w:tc>
          <w:tcPr>
            <w:tcW w:w="2834" w:type="dxa"/>
            <w:shd w:val="clear" w:color="auto" w:fill="auto"/>
          </w:tcPr>
          <w:p w14:paraId="60392F05"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0CCDB8F2"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Пiдприємство здiйснює  дiяльнiсть згiдно  Статуту, згiдно з  кодом  КВЕД 70.22 Консультування з питань комерцiйної дiяльностi й керування.</w:t>
            </w:r>
          </w:p>
        </w:tc>
      </w:tr>
    </w:tbl>
    <w:p w14:paraId="7A3CFAD8"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p>
    <w:p w14:paraId="10703C23"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537110" w:rsidRPr="00537110" w14:paraId="74C47DFB" w14:textId="77777777" w:rsidTr="00003686">
        <w:tc>
          <w:tcPr>
            <w:tcW w:w="2834" w:type="dxa"/>
            <w:shd w:val="clear" w:color="auto" w:fill="auto"/>
          </w:tcPr>
          <w:p w14:paraId="3CBFD45F"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26430932"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ТОВ "IВАНО-ФРАНКIВСЬК-ДАХ"</w:t>
            </w:r>
          </w:p>
        </w:tc>
      </w:tr>
      <w:tr w:rsidR="00537110" w:rsidRPr="00537110" w14:paraId="571660AC" w14:textId="77777777" w:rsidTr="00003686">
        <w:tc>
          <w:tcPr>
            <w:tcW w:w="2834" w:type="dxa"/>
            <w:shd w:val="clear" w:color="auto" w:fill="auto"/>
          </w:tcPr>
          <w:p w14:paraId="3121F694"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7EFD50EC"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Товариство з обмеженою вiдповiдальнiстю</w:t>
            </w:r>
          </w:p>
        </w:tc>
      </w:tr>
      <w:tr w:rsidR="00537110" w:rsidRPr="00537110" w14:paraId="011A412F" w14:textId="77777777" w:rsidTr="00003686">
        <w:tc>
          <w:tcPr>
            <w:tcW w:w="2834" w:type="dxa"/>
            <w:shd w:val="clear" w:color="auto" w:fill="auto"/>
          </w:tcPr>
          <w:p w14:paraId="108798E7"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3D019768"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43632293</w:t>
            </w:r>
          </w:p>
        </w:tc>
      </w:tr>
      <w:tr w:rsidR="00537110" w:rsidRPr="00537110" w14:paraId="3B7A7A9F" w14:textId="77777777" w:rsidTr="00003686">
        <w:tc>
          <w:tcPr>
            <w:tcW w:w="2834" w:type="dxa"/>
            <w:shd w:val="clear" w:color="auto" w:fill="auto"/>
          </w:tcPr>
          <w:p w14:paraId="674357BA"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1D89687E"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77422, Iвано-Франкiвська обл.Тисменицький р-н,с.Ямниця, вул. Н. Яремчука, буд. 2, корпус 1.</w:t>
            </w:r>
          </w:p>
        </w:tc>
      </w:tr>
      <w:tr w:rsidR="00537110" w:rsidRPr="00537110" w14:paraId="0105DD57" w14:textId="77777777" w:rsidTr="00003686">
        <w:tc>
          <w:tcPr>
            <w:tcW w:w="2834" w:type="dxa"/>
            <w:shd w:val="clear" w:color="auto" w:fill="auto"/>
          </w:tcPr>
          <w:p w14:paraId="64BEFF39" w14:textId="77777777" w:rsidR="00537110" w:rsidRPr="00537110" w:rsidRDefault="00537110" w:rsidP="00537110">
            <w:pPr>
              <w:spacing w:after="0" w:line="240" w:lineRule="auto"/>
              <w:rPr>
                <w:rFonts w:ascii="Times New Roman" w:eastAsia="Times New Roman" w:hAnsi="Times New Roman" w:cs="Times New Roman"/>
                <w:b/>
                <w:kern w:val="0"/>
                <w:sz w:val="20"/>
                <w:szCs w:val="24"/>
                <w:lang w:eastAsia="uk-UA"/>
                <w14:ligatures w14:val="none"/>
              </w:rPr>
            </w:pPr>
            <w:r w:rsidRPr="00537110">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0E522944"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r w:rsidRPr="00537110">
              <w:rPr>
                <w:rFonts w:ascii="Times New Roman" w:eastAsia="Times New Roman" w:hAnsi="Times New Roman" w:cs="Times New Roman"/>
                <w:kern w:val="0"/>
                <w:sz w:val="20"/>
                <w:szCs w:val="24"/>
                <w:lang w:eastAsia="uk-UA"/>
                <w14:ligatures w14:val="none"/>
              </w:rPr>
              <w:t>Пiдприємство здiйснює  дiяльнiсть згiдно  Статуту, згiдно з  кодом  КВЕД 23.65 Виготовлення виробiв iз волокнистого цементу.</w:t>
            </w:r>
          </w:p>
        </w:tc>
      </w:tr>
    </w:tbl>
    <w:p w14:paraId="5908F898"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p>
    <w:p w14:paraId="4835BC95"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p>
    <w:p w14:paraId="50906B82" w14:textId="77777777" w:rsidR="00537110" w:rsidRPr="00537110" w:rsidRDefault="00537110" w:rsidP="00537110">
      <w:pPr>
        <w:spacing w:after="0" w:line="240" w:lineRule="auto"/>
        <w:rPr>
          <w:rFonts w:ascii="Times New Roman" w:eastAsia="Times New Roman" w:hAnsi="Times New Roman" w:cs="Times New Roman"/>
          <w:kern w:val="0"/>
          <w:sz w:val="20"/>
          <w:szCs w:val="24"/>
          <w:lang w:eastAsia="uk-UA"/>
          <w14:ligatures w14:val="none"/>
        </w:rPr>
      </w:pPr>
    </w:p>
    <w:p w14:paraId="44EAD8FA" w14:textId="77777777" w:rsidR="00537110" w:rsidRDefault="00537110">
      <w:pPr>
        <w:sectPr w:rsidR="00537110" w:rsidSect="00FF69E1">
          <w:pgSz w:w="11906" w:h="16838"/>
          <w:pgMar w:top="363" w:right="567" w:bottom="363" w:left="1417" w:header="709" w:footer="709" w:gutter="0"/>
          <w:cols w:space="708"/>
          <w:docGrid w:linePitch="360"/>
        </w:sectPr>
      </w:pPr>
    </w:p>
    <w:p w14:paraId="0092CB23" w14:textId="77777777" w:rsidR="00537110" w:rsidRPr="00537110" w:rsidRDefault="00537110" w:rsidP="00537110">
      <w:pPr>
        <w:spacing w:before="100" w:beforeAutospacing="1" w:after="100" w:afterAutospacing="1" w:line="240" w:lineRule="auto"/>
        <w:ind w:left="1701" w:right="1758"/>
        <w:jc w:val="center"/>
        <w:outlineLvl w:val="2"/>
        <w:rPr>
          <w:rFonts w:ascii="Times New Roman" w:eastAsia="Times New Roman" w:hAnsi="Times New Roman" w:cs="Times New Roman"/>
          <w:b/>
          <w:bCs/>
          <w:color w:val="000000"/>
          <w:kern w:val="0"/>
          <w:sz w:val="27"/>
          <w:szCs w:val="27"/>
          <w:lang w:eastAsia="ru-RU"/>
          <w14:ligatures w14:val="none"/>
        </w:rPr>
      </w:pPr>
      <w:r w:rsidRPr="00537110">
        <w:rPr>
          <w:rFonts w:ascii="Times New Roman" w:eastAsia="Times New Roman" w:hAnsi="Times New Roman" w:cs="Times New Roman"/>
          <w:b/>
          <w:bCs/>
          <w:color w:val="000000"/>
          <w:kern w:val="0"/>
          <w:sz w:val="27"/>
          <w:szCs w:val="27"/>
          <w:lang w:eastAsia="ru-RU"/>
          <w14:ligatures w14:val="none"/>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4742" w:type="dxa"/>
        <w:tblInd w:w="1843" w:type="dxa"/>
        <w:tblCellMar>
          <w:top w:w="15" w:type="dxa"/>
          <w:left w:w="15" w:type="dxa"/>
          <w:bottom w:w="15" w:type="dxa"/>
          <w:right w:w="15" w:type="dxa"/>
        </w:tblCellMar>
        <w:tblLook w:val="0000" w:firstRow="0" w:lastRow="0" w:firstColumn="0" w:lastColumn="0" w:noHBand="0" w:noVBand="0"/>
      </w:tblPr>
      <w:tblGrid>
        <w:gridCol w:w="14742"/>
      </w:tblGrid>
      <w:tr w:rsidR="00537110" w:rsidRPr="00537110" w14:paraId="616384F5" w14:textId="77777777" w:rsidTr="00003686">
        <w:tc>
          <w:tcPr>
            <w:tcW w:w="14742" w:type="dxa"/>
            <w:tcMar>
              <w:top w:w="60" w:type="dxa"/>
              <w:left w:w="60" w:type="dxa"/>
              <w:bottom w:w="60" w:type="dxa"/>
              <w:right w:w="60" w:type="dxa"/>
            </w:tcMar>
            <w:vAlign w:val="center"/>
          </w:tcPr>
          <w:p w14:paraId="1A87A8CD" w14:textId="77777777" w:rsidR="00537110" w:rsidRPr="00537110" w:rsidRDefault="00537110" w:rsidP="00537110">
            <w:pPr>
              <w:spacing w:before="100" w:beforeAutospacing="1" w:after="100" w:afterAutospacing="1" w:line="240" w:lineRule="auto"/>
              <w:ind w:left="1401" w:hanging="1401"/>
              <w:jc w:val="center"/>
              <w:outlineLvl w:val="2"/>
              <w:rPr>
                <w:rFonts w:ascii="Times New Roman" w:eastAsia="Times New Roman" w:hAnsi="Times New Roman" w:cs="Times New Roman"/>
                <w:kern w:val="0"/>
                <w:sz w:val="28"/>
                <w:szCs w:val="28"/>
                <w:lang w:eastAsia="ru-RU"/>
                <w14:ligatures w14:val="none"/>
              </w:rPr>
            </w:pPr>
            <w:r w:rsidRPr="00537110">
              <w:rPr>
                <w:rFonts w:ascii="Times New Roman" w:eastAsia="Times New Roman" w:hAnsi="Times New Roman" w:cs="Times New Roman"/>
                <w:b/>
                <w:bCs/>
                <w:color w:val="000000"/>
                <w:kern w:val="0"/>
                <w:sz w:val="27"/>
                <w:szCs w:val="27"/>
                <w:lang w:eastAsia="ru-RU"/>
                <w14:ligatures w14:val="none"/>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14:paraId="41F09118"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537110" w:rsidRPr="00537110" w14:paraId="0C2A8D11" w14:textId="77777777" w:rsidTr="0000368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FB1F09"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color w:val="000000"/>
                <w:kern w:val="0"/>
                <w:sz w:val="20"/>
                <w:szCs w:val="20"/>
                <w:lang w:eastAsia="uk-UA"/>
                <w14:ligatures w14:val="none"/>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E26386"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color w:val="000000"/>
                <w:kern w:val="0"/>
                <w:sz w:val="20"/>
                <w:szCs w:val="20"/>
                <w:lang w:eastAsia="uk-UA"/>
                <w14:ligatures w14:val="none"/>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1101EB"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color w:val="000000"/>
                <w:kern w:val="0"/>
                <w:sz w:val="20"/>
                <w:szCs w:val="20"/>
                <w:lang w:eastAsia="uk-UA"/>
                <w14:ligatures w14:val="none"/>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83601F"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color w:val="000000"/>
                <w:kern w:val="0"/>
                <w:sz w:val="20"/>
                <w:szCs w:val="20"/>
                <w:lang w:eastAsia="uk-UA"/>
                <w14:ligatures w14:val="none"/>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14:paraId="6E0B779A"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color w:val="000000"/>
                <w:kern w:val="0"/>
                <w:sz w:val="20"/>
                <w:szCs w:val="20"/>
                <w:lang w:eastAsia="uk-UA"/>
                <w14:ligatures w14:val="none"/>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F82FFA"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color w:val="000000"/>
                <w:kern w:val="0"/>
                <w:sz w:val="20"/>
                <w:szCs w:val="20"/>
                <w:lang w:eastAsia="uk-UA"/>
                <w14:ligatures w14:val="none"/>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14:paraId="74556C59"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color w:val="000000"/>
                <w:kern w:val="0"/>
                <w:sz w:val="20"/>
                <w:szCs w:val="20"/>
                <w:lang w:eastAsia="uk-UA"/>
                <w14:ligatures w14:val="none"/>
              </w:rPr>
              <w:t>Строк обмеження</w:t>
            </w:r>
          </w:p>
        </w:tc>
      </w:tr>
      <w:tr w:rsidR="00537110" w:rsidRPr="00537110" w14:paraId="2CB75731" w14:textId="77777777" w:rsidTr="0000368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728D08"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994D29"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321541"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664604"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eastAsia="uk-UA"/>
                <w14:ligatures w14:val="none"/>
              </w:rPr>
            </w:pPr>
            <w:r w:rsidRPr="00537110">
              <w:rPr>
                <w:rFonts w:ascii="Times New Roman" w:eastAsia="Times New Roman" w:hAnsi="Times New Roman" w:cs="Times New Roman"/>
                <w:b/>
                <w:bCs/>
                <w:kern w:val="0"/>
                <w:sz w:val="20"/>
                <w:szCs w:val="20"/>
                <w:lang w:eastAsia="uk-UA"/>
                <w14:ligatures w14:val="none"/>
              </w:rPr>
              <w:t>4</w:t>
            </w:r>
          </w:p>
        </w:tc>
        <w:tc>
          <w:tcPr>
            <w:tcW w:w="2977" w:type="dxa"/>
            <w:tcBorders>
              <w:top w:val="single" w:sz="6" w:space="0" w:color="000000"/>
              <w:left w:val="single" w:sz="6" w:space="0" w:color="000000"/>
              <w:bottom w:val="single" w:sz="6" w:space="0" w:color="000000"/>
              <w:right w:val="single" w:sz="6" w:space="0" w:color="000000"/>
            </w:tcBorders>
            <w:vAlign w:val="center"/>
          </w:tcPr>
          <w:p w14:paraId="2E98D468"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19622A"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6</w:t>
            </w:r>
          </w:p>
        </w:tc>
        <w:tc>
          <w:tcPr>
            <w:tcW w:w="2268" w:type="dxa"/>
            <w:tcBorders>
              <w:top w:val="single" w:sz="6" w:space="0" w:color="000000"/>
              <w:left w:val="single" w:sz="6" w:space="0" w:color="000000"/>
              <w:bottom w:val="single" w:sz="6" w:space="0" w:color="000000"/>
              <w:right w:val="single" w:sz="6" w:space="0" w:color="000000"/>
            </w:tcBorders>
            <w:vAlign w:val="center"/>
          </w:tcPr>
          <w:p w14:paraId="40D7AA91" w14:textId="77777777" w:rsidR="00537110" w:rsidRPr="00537110" w:rsidRDefault="00537110" w:rsidP="00537110">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537110">
              <w:rPr>
                <w:rFonts w:ascii="Times New Roman" w:eastAsia="Times New Roman" w:hAnsi="Times New Roman" w:cs="Times New Roman"/>
                <w:b/>
                <w:bCs/>
                <w:kern w:val="0"/>
                <w:sz w:val="20"/>
                <w:szCs w:val="20"/>
                <w:lang w:val="en-US" w:eastAsia="uk-UA"/>
                <w14:ligatures w14:val="none"/>
              </w:rPr>
              <w:t>7</w:t>
            </w:r>
          </w:p>
        </w:tc>
      </w:tr>
    </w:tbl>
    <w:p w14:paraId="1098B677" w14:textId="77777777" w:rsidR="00537110" w:rsidRPr="00537110" w:rsidRDefault="00537110" w:rsidP="00537110">
      <w:pPr>
        <w:spacing w:after="0" w:line="240" w:lineRule="auto"/>
        <w:rPr>
          <w:rFonts w:ascii="Times New Roman" w:eastAsia="Times New Roman" w:hAnsi="Times New Roman" w:cs="Times New Roman"/>
          <w:vanish/>
          <w:color w:val="000000"/>
          <w:kern w:val="0"/>
          <w:sz w:val="24"/>
          <w:szCs w:val="24"/>
          <w:lang w:eastAsia="uk-UA"/>
          <w14:ligatures w14:val="none"/>
        </w:rPr>
      </w:pPr>
    </w:p>
    <w:p w14:paraId="4D9CA788" w14:textId="77777777" w:rsidR="00537110" w:rsidRPr="00537110" w:rsidRDefault="00537110" w:rsidP="00537110">
      <w:pPr>
        <w:spacing w:after="0" w:line="240" w:lineRule="auto"/>
        <w:rPr>
          <w:rFonts w:ascii="Times New Roman" w:eastAsia="Times New Roman" w:hAnsi="Times New Roman" w:cs="Times New Roman"/>
          <w:kern w:val="0"/>
          <w:sz w:val="24"/>
          <w:szCs w:val="24"/>
          <w:lang w:eastAsia="uk-UA"/>
          <w14:ligatures w14:val="none"/>
        </w:rPr>
      </w:pPr>
    </w:p>
    <w:p w14:paraId="791BC8D5" w14:textId="77777777" w:rsidR="00537110" w:rsidRPr="00537110" w:rsidRDefault="00537110" w:rsidP="00537110">
      <w:pPr>
        <w:spacing w:before="100" w:beforeAutospacing="1" w:after="100" w:afterAutospacing="1" w:line="240" w:lineRule="auto"/>
        <w:jc w:val="center"/>
        <w:rPr>
          <w:rFonts w:ascii="Times New Roman" w:eastAsia="Times New Roman" w:hAnsi="Times New Roman" w:cs="Times New Roman"/>
          <w:b/>
          <w:bCs/>
          <w:kern w:val="0"/>
          <w:sz w:val="26"/>
          <w:szCs w:val="26"/>
          <w:lang w:eastAsia="uk-UA"/>
          <w14:ligatures w14:val="none"/>
        </w:rPr>
      </w:pPr>
      <w:r w:rsidRPr="00537110">
        <w:rPr>
          <w:rFonts w:ascii="Times New Roman" w:eastAsia="Times New Roman" w:hAnsi="Times New Roman" w:cs="Times New Roman"/>
          <w:b/>
          <w:bCs/>
          <w:kern w:val="0"/>
          <w:sz w:val="26"/>
          <w:szCs w:val="26"/>
          <w:lang w:eastAsia="uk-UA"/>
          <w14:ligatures w14:val="none"/>
        </w:rPr>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537110" w:rsidRPr="00537110" w14:paraId="7A9809B1" w14:textId="77777777" w:rsidTr="00003686">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9F47F20"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3BDD041"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14:paraId="53EB4174"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033AD217"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029A72C2"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7A312B02"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4B4BD4D9"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37315509" w14:textId="77777777" w:rsidR="00537110" w:rsidRPr="00537110" w:rsidRDefault="00537110" w:rsidP="00537110">
            <w:pPr>
              <w:tabs>
                <w:tab w:val="left" w:pos="1035"/>
              </w:tabs>
              <w:spacing w:after="0" w:line="240" w:lineRule="auto"/>
              <w:jc w:val="center"/>
              <w:rPr>
                <w:rFonts w:ascii="Times New Roman" w:eastAsia="Times New Roman" w:hAnsi="Times New Roman" w:cs="Times New Roman"/>
                <w:b/>
                <w:color w:val="000000"/>
                <w:kern w:val="0"/>
                <w:sz w:val="18"/>
                <w:szCs w:val="18"/>
                <w:lang w:val="x-none" w:eastAsia="uk-UA"/>
                <w14:ligatures w14:val="none"/>
              </w:rPr>
            </w:pPr>
            <w:r w:rsidRPr="00537110">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за результатами обмеження таких прав передано іншій особі (шт.)</w:t>
            </w:r>
          </w:p>
        </w:tc>
      </w:tr>
      <w:tr w:rsidR="00537110" w:rsidRPr="00537110" w14:paraId="573C6D30" w14:textId="77777777" w:rsidTr="0000368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5B8B9D2"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ABD8422"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2</w:t>
            </w:r>
          </w:p>
        </w:tc>
        <w:tc>
          <w:tcPr>
            <w:tcW w:w="2049" w:type="dxa"/>
            <w:tcBorders>
              <w:top w:val="single" w:sz="4" w:space="0" w:color="auto"/>
              <w:left w:val="single" w:sz="4" w:space="0" w:color="auto"/>
              <w:bottom w:val="single" w:sz="4" w:space="0" w:color="auto"/>
              <w:right w:val="single" w:sz="4" w:space="0" w:color="auto"/>
            </w:tcBorders>
            <w:vAlign w:val="center"/>
          </w:tcPr>
          <w:p w14:paraId="2382D3D6"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6D057728"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05B91F23"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29EC40E2"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6</w:t>
            </w:r>
          </w:p>
        </w:tc>
        <w:tc>
          <w:tcPr>
            <w:tcW w:w="2142" w:type="dxa"/>
            <w:tcBorders>
              <w:top w:val="single" w:sz="4" w:space="0" w:color="auto"/>
              <w:left w:val="single" w:sz="4" w:space="0" w:color="auto"/>
              <w:bottom w:val="single" w:sz="4" w:space="0" w:color="auto"/>
              <w:right w:val="single" w:sz="4" w:space="0" w:color="auto"/>
            </w:tcBorders>
            <w:vAlign w:val="center"/>
          </w:tcPr>
          <w:p w14:paraId="6781D64C"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7</w:t>
            </w:r>
          </w:p>
        </w:tc>
        <w:tc>
          <w:tcPr>
            <w:tcW w:w="2142" w:type="dxa"/>
            <w:tcBorders>
              <w:top w:val="single" w:sz="4" w:space="0" w:color="auto"/>
              <w:left w:val="single" w:sz="4" w:space="0" w:color="auto"/>
              <w:bottom w:val="single" w:sz="4" w:space="0" w:color="auto"/>
              <w:right w:val="single" w:sz="4" w:space="0" w:color="auto"/>
            </w:tcBorders>
            <w:vAlign w:val="center"/>
          </w:tcPr>
          <w:p w14:paraId="7B070449"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8</w:t>
            </w:r>
          </w:p>
        </w:tc>
      </w:tr>
      <w:tr w:rsidR="00537110" w:rsidRPr="00537110" w14:paraId="06219CBC" w14:textId="77777777" w:rsidTr="0000368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435B044"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01.12.2010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B7F4C5"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1122/1/10</w:t>
            </w:r>
          </w:p>
        </w:tc>
        <w:tc>
          <w:tcPr>
            <w:tcW w:w="2049" w:type="dxa"/>
            <w:tcBorders>
              <w:top w:val="single" w:sz="4" w:space="0" w:color="auto"/>
              <w:left w:val="single" w:sz="4" w:space="0" w:color="auto"/>
              <w:bottom w:val="single" w:sz="4" w:space="0" w:color="auto"/>
              <w:right w:val="single" w:sz="4" w:space="0" w:color="auto"/>
            </w:tcBorders>
            <w:vAlign w:val="center"/>
          </w:tcPr>
          <w:p w14:paraId="5E362220"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UA4000170070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DC8096E"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5E1E98B3"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133131500.00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6D4FFC4"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vAlign w:val="center"/>
          </w:tcPr>
          <w:p w14:paraId="4464DBE4"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0</w:t>
            </w:r>
          </w:p>
        </w:tc>
        <w:tc>
          <w:tcPr>
            <w:tcW w:w="2142" w:type="dxa"/>
            <w:tcBorders>
              <w:top w:val="single" w:sz="4" w:space="0" w:color="auto"/>
              <w:left w:val="single" w:sz="4" w:space="0" w:color="auto"/>
              <w:bottom w:val="single" w:sz="4" w:space="0" w:color="auto"/>
              <w:right w:val="single" w:sz="4" w:space="0" w:color="auto"/>
            </w:tcBorders>
            <w:vAlign w:val="center"/>
          </w:tcPr>
          <w:p w14:paraId="6C54A3ED" w14:textId="77777777" w:rsidR="00537110" w:rsidRPr="00537110" w:rsidRDefault="00537110" w:rsidP="00537110">
            <w:pPr>
              <w:spacing w:after="0" w:line="240" w:lineRule="auto"/>
              <w:jc w:val="center"/>
              <w:rPr>
                <w:rFonts w:ascii="Times New Roman" w:eastAsia="Times New Roman" w:hAnsi="Times New Roman" w:cs="Times New Roman"/>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0</w:t>
            </w:r>
          </w:p>
        </w:tc>
      </w:tr>
      <w:tr w:rsidR="00537110" w:rsidRPr="00537110" w14:paraId="7847A343" w14:textId="77777777" w:rsidTr="0000368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2867F7C" w14:textId="77777777" w:rsidR="00537110" w:rsidRPr="00537110" w:rsidRDefault="00537110" w:rsidP="00537110">
            <w:pPr>
              <w:spacing w:after="0" w:line="240" w:lineRule="auto"/>
              <w:jc w:val="center"/>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b/>
                <w:kern w:val="0"/>
                <w:sz w:val="20"/>
                <w:szCs w:val="20"/>
                <w:lang w:eastAsia="uk-UA"/>
                <w14:ligatures w14:val="none"/>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14:paraId="0CD591D0" w14:textId="77777777" w:rsidR="00537110" w:rsidRPr="00537110" w:rsidRDefault="00537110" w:rsidP="00537110">
            <w:pPr>
              <w:spacing w:after="0" w:line="240" w:lineRule="auto"/>
              <w:rPr>
                <w:rFonts w:ascii="Times New Roman" w:eastAsia="Times New Roman" w:hAnsi="Times New Roman" w:cs="Times New Roman"/>
                <w:b/>
                <w:kern w:val="0"/>
                <w:sz w:val="20"/>
                <w:szCs w:val="20"/>
                <w:lang w:eastAsia="uk-UA"/>
                <w14:ligatures w14:val="none"/>
              </w:rPr>
            </w:pPr>
            <w:r w:rsidRPr="00537110">
              <w:rPr>
                <w:rFonts w:ascii="Times New Roman" w:eastAsia="Times New Roman" w:hAnsi="Times New Roman" w:cs="Times New Roman"/>
                <w:kern w:val="0"/>
                <w:sz w:val="20"/>
                <w:szCs w:val="20"/>
                <w:lang w:eastAsia="uk-UA"/>
                <w14:ligatures w14:val="none"/>
              </w:rPr>
              <w:t>Всі акції емітента є голосуючими</w:t>
            </w:r>
          </w:p>
        </w:tc>
      </w:tr>
    </w:tbl>
    <w:p w14:paraId="6F4F4536" w14:textId="77777777" w:rsidR="00537110" w:rsidRPr="00537110" w:rsidRDefault="00537110" w:rsidP="00537110">
      <w:pPr>
        <w:spacing w:after="0" w:line="240" w:lineRule="auto"/>
        <w:rPr>
          <w:rFonts w:ascii="Times New Roman" w:eastAsia="Times New Roman" w:hAnsi="Times New Roman" w:cs="Times New Roman"/>
          <w:kern w:val="0"/>
          <w:sz w:val="24"/>
          <w:szCs w:val="24"/>
          <w:lang w:val="en-US" w:eastAsia="uk-UA"/>
          <w14:ligatures w14:val="none"/>
        </w:rPr>
      </w:pPr>
    </w:p>
    <w:p w14:paraId="11F1DB43" w14:textId="77777777" w:rsidR="00537110" w:rsidRDefault="00537110">
      <w:pPr>
        <w:sectPr w:rsidR="00537110" w:rsidSect="00FF69E1">
          <w:pgSz w:w="16838" w:h="11906" w:orient="landscape"/>
          <w:pgMar w:top="1417" w:right="363" w:bottom="850" w:left="363" w:header="709" w:footer="709" w:gutter="0"/>
          <w:cols w:space="708"/>
          <w:docGrid w:linePitch="360"/>
        </w:sectPr>
      </w:pPr>
    </w:p>
    <w:p w14:paraId="06754D32" w14:textId="77777777" w:rsidR="00537110" w:rsidRPr="00537110" w:rsidRDefault="00537110" w:rsidP="00537110">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eastAsia="uk-UA"/>
          <w14:ligatures w14:val="none"/>
        </w:rPr>
      </w:pPr>
      <w:r w:rsidRPr="00537110">
        <w:rPr>
          <w:rFonts w:ascii="Times New Roman" w:eastAsia="Times New Roman" w:hAnsi="Times New Roman" w:cs="Times New Roman"/>
          <w:b/>
          <w:bCs/>
          <w:kern w:val="0"/>
          <w:sz w:val="26"/>
          <w:szCs w:val="26"/>
          <w:lang w:eastAsia="uk-UA"/>
          <w14:ligatures w14:val="none"/>
        </w:rPr>
        <w:lastRenderedPageBreak/>
        <w:t>ХV. Проміжний звіт керівництва</w:t>
      </w:r>
    </w:p>
    <w:p w14:paraId="5D1F1EF3"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ЗВІТ КЕРІВНИЦТВА</w:t>
      </w:r>
    </w:p>
    <w:p w14:paraId="0DF33B6E"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p>
    <w:p w14:paraId="473B94B2"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Управлінський персонал Приватного акціонерного товариства "Івано-Франківськцемент" (далі - "Компанія") представляє Звіт про управління разом з фінансовою звітністю Компанії за 4 квартал 2023 року. </w:t>
      </w:r>
    </w:p>
    <w:p w14:paraId="53C4512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Звіт складено у відповідності до вимог ст. 6, ст. 11 Закону України "Про бухгалтерський облік та фінансову звітність в Україні" від 16.07.1999р. №996-ХІV, згідно з положеннями Наказу Міністерства фінансів України "Про затвердження Методичних рекомендацій зі складання звіту про управління" від 07.12.2018р. №982, з урахуванням змін, внесених Наказом Міністерства фінансів України "Про затвердження Змін до Методичних рекомендацій зі складання звіту про управління" від 18.01.2019р. № 27.</w:t>
      </w:r>
    </w:p>
    <w:p w14:paraId="2D6ADD07"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Звіт про управління містить достовірну фінансову та нефінансову інформацію про діяльність підприємства, його стан та перспективи розвитку та розкриває основні ризики і невизначеності його діяльності.</w:t>
      </w:r>
    </w:p>
    <w:p w14:paraId="77AE196D"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Управлінський персонал Компанії несе відповідальність за інформацію, викладену в даному Звіті.</w:t>
      </w:r>
    </w:p>
    <w:p w14:paraId="6D125A2A"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1.</w:t>
      </w:r>
      <w:r w:rsidRPr="00537110">
        <w:rPr>
          <w:rFonts w:ascii="Times New Roman" w:eastAsia="Times New Roman" w:hAnsi="Times New Roman" w:cs="Times New Roman"/>
          <w:kern w:val="0"/>
          <w:sz w:val="20"/>
          <w:szCs w:val="20"/>
          <w:lang w:val="en-US" w:eastAsia="uk-UA"/>
          <w14:ligatures w14:val="none"/>
        </w:rPr>
        <w:tab/>
        <w:t>Інформація про діяльність та організаційну структуру</w:t>
      </w:r>
    </w:p>
    <w:p w14:paraId="7419E8ED"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Інформація про основну діяльність</w:t>
      </w:r>
    </w:p>
    <w:p w14:paraId="2109CD0D"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Компанія була створена в Україні як публічне акціонерне товариство "Івано-Франківськцемент" у 1999 році. Рішенням Загальних зборів акціонерів 25 квітня 2017 року організаційно-правова форма Товариства була змінена з публічного акціонерного товариства на приватне акціонерне товариство.</w:t>
      </w:r>
    </w:p>
    <w:p w14:paraId="100C366E"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Основним видом діяльності Компанії за КВЕД є 23.51 Виробництво цементу. Основні виробничі фонди розміщені на території с. Ямниця, Ямницької ОТГ, Івано-Франківської області.</w:t>
      </w:r>
    </w:p>
    <w:p w14:paraId="3F90D11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Організаційна структура та керівництво</w:t>
      </w:r>
    </w:p>
    <w:p w14:paraId="31B2ED06"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Вищим органом управління згідно зі Статутом Компанії є Загальні збори акціонерів. Виконавчим органом, який здійснює управління поточною діяльністю Компанії, є Правління. </w:t>
      </w:r>
    </w:p>
    <w:p w14:paraId="383BCE74"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Протягом 3 кварталу 2023 року не було змін в організаційній структурі Компанії.</w:t>
      </w:r>
    </w:p>
    <w:p w14:paraId="696C18B9"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2.</w:t>
      </w:r>
      <w:r w:rsidRPr="00537110">
        <w:rPr>
          <w:rFonts w:ascii="Times New Roman" w:eastAsia="Times New Roman" w:hAnsi="Times New Roman" w:cs="Times New Roman"/>
          <w:kern w:val="0"/>
          <w:sz w:val="20"/>
          <w:szCs w:val="20"/>
          <w:lang w:val="en-US" w:eastAsia="uk-UA"/>
          <w14:ligatures w14:val="none"/>
        </w:rPr>
        <w:tab/>
        <w:t>Вплив економічної ситуації на фінансовий стан та результати діяльності</w:t>
      </w:r>
    </w:p>
    <w:p w14:paraId="72FD5037"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Економічне середовище</w:t>
      </w:r>
    </w:p>
    <w:p w14:paraId="7AFB341B"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Діяльність Компанії переважно здійснюється в Україні. Відповідно, на бізнес Компанії впливають економіка та фінансові ринки України, яким притаманні особливості ринку, що розвивається. Політична та економічна ситуація в Україні останніми роками нестабільна. Правова, податкова та адміністративна системи продовжують розвиватися, проте пов'язані з ризиком неоднозначності тлумачення їхніх вимог, які до того ж схильні до частих змін, що вкупі з іншими юридичними та фіскальними перешкодами створює додаткові проблеми для підприємств, що ведуть бізнес в Україні.</w:t>
      </w:r>
    </w:p>
    <w:p w14:paraId="120ADFD4"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21 лютого 2022 року Російська Федерація офіційно визнала дві українські невизнані області - Луганську та Донецьку та дозволила використання збройних сил на цих територіях. 24 лютого 2022 року російські війська вторглися в Україну та розпочали військові дії у кількох місцях. Ці тривалі дії призвели до людських жертв, значного переміщення населення, пошкодження інфраструктури, введення Національним банком України певних адміністративних обмежень на операції з конвертації валюти та платежів за кордон та загалом значного порушення економічної діяльності в Україні. Це може мати згубний вплив на політичне та бізнес-середовище в Україні, у тому числі на здатність багатьох підприємств продовжувати свою діяльність у звичайному режимі.</w:t>
      </w:r>
    </w:p>
    <w:p w14:paraId="463990C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Ризики війни для економіки України: скорочення виробництва, збільшення нестабільності, руйнування інфраструктури, втрати бізнесу, а в останньому кварталі 2022 р. різко посилився ризик дефіциту енергетичних ресурсів унаслідок цілеспрямованого руйнування ворогом енергетичної інфраструктури України. Критичний стан в енергетиці дається взнаки як у виробничій, так і у соціальній сферах. Хоча технологічно рівень ризиковості втрати централізованого енергопостачання розподілений по секторах вельми нерівномірно, дається взнаки загальне зниження економічної активності та погіршення ділових очікувань в умовах загрози тривалих блекаутів.</w:t>
      </w:r>
    </w:p>
    <w:p w14:paraId="2973BDB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Послідовна політика НБУ дозволила уникнути відпливу капіталів з країни та некерованої девальвації гривні. Стабільність та передбачуваність курсу гривні знижували негативні інфляційні очікування. При цьому збережено золотовалютні резерви країни, досягнуто відносної рівноваги на готівковому та достатньої стійкості на безготівковому ринку валюти. Попри активну монетизацію дефіциту бюджету через купівлю урядових облігацій Нацбанком, завдяки компенсаційній монетарній політиці вдалося також зберегти прийнятні темпи зростання цін та уникнути гіперінфляції.</w:t>
      </w:r>
    </w:p>
    <w:p w14:paraId="584201C0"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За поточних обставин Компанія здійснює діяльність на 70% звичайної потужності зі збереженням свого персоналу. Основні активи Компанії, такі як основні засоби та запаси, розташовані в Івано-Франківській області (західний регіон України). Наразі в області не проводились військові дії та жодних пошкоджень активів та обладнання не відбулося. </w:t>
      </w:r>
    </w:p>
    <w:p w14:paraId="774A0EA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Компанія очікує зростання попиту на будівельні матеріали, необхідних для відбудови інфраструктури пошкоджених населених пунктів України, після завершення військових дій з відповідним подальшим зростанням обсягів реалізації. </w:t>
      </w:r>
    </w:p>
    <w:p w14:paraId="6F20BF5B"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p>
    <w:p w14:paraId="565A0A2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p>
    <w:p w14:paraId="5744835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3.</w:t>
      </w:r>
      <w:r w:rsidRPr="00537110">
        <w:rPr>
          <w:rFonts w:ascii="Times New Roman" w:eastAsia="Times New Roman" w:hAnsi="Times New Roman" w:cs="Times New Roman"/>
          <w:kern w:val="0"/>
          <w:sz w:val="20"/>
          <w:szCs w:val="20"/>
          <w:lang w:val="en-US" w:eastAsia="uk-UA"/>
          <w14:ligatures w14:val="none"/>
        </w:rPr>
        <w:tab/>
        <w:t>Ліквідність та зобов'язання</w:t>
      </w:r>
    </w:p>
    <w:p w14:paraId="7A7050A9"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Ризик ліквідності - це ризик того, що Компанія не зможе виконати свої фінансові зобов'язання, розрахунки за якими здійснюються шляхом передачі грошових коштів або іншого фінансового активу. Підхід Компанії до управління ліквідністю полягає в тому, щоб забезпечити, наскільки це можливо, постійну наявність у Компанії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Компанії.</w:t>
      </w:r>
    </w:p>
    <w:p w14:paraId="41D3675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Компанія підтримує мінімальний рівень грошових коштів та інших високоліквідних інструментів на достатньому рівні. Компанія також відстежує рівень очікуваного припливу грошових коштів від погашення торгової та іншої </w:t>
      </w:r>
      <w:r w:rsidRPr="00537110">
        <w:rPr>
          <w:rFonts w:ascii="Times New Roman" w:eastAsia="Times New Roman" w:hAnsi="Times New Roman" w:cs="Times New Roman"/>
          <w:kern w:val="0"/>
          <w:sz w:val="20"/>
          <w:szCs w:val="20"/>
          <w:lang w:val="en-US" w:eastAsia="uk-UA"/>
          <w14:ligatures w14:val="none"/>
        </w:rPr>
        <w:lastRenderedPageBreak/>
        <w:t xml:space="preserve">дебіторської заборгованості та очікуваний відтік у зв'язку з погашенням торгової та іншої кредиторської заборгованості. </w:t>
      </w:r>
    </w:p>
    <w:p w14:paraId="66306FD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4.</w:t>
      </w:r>
      <w:r w:rsidRPr="00537110">
        <w:rPr>
          <w:rFonts w:ascii="Times New Roman" w:eastAsia="Times New Roman" w:hAnsi="Times New Roman" w:cs="Times New Roman"/>
          <w:kern w:val="0"/>
          <w:sz w:val="20"/>
          <w:szCs w:val="20"/>
          <w:lang w:val="en-US" w:eastAsia="uk-UA"/>
          <w14:ligatures w14:val="none"/>
        </w:rPr>
        <w:tab/>
        <w:t>Екологічні аспекти</w:t>
      </w:r>
    </w:p>
    <w:p w14:paraId="6B404367"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Компанія здійснює постійний моніторинг навколишнього середовища (атмосферне повітря, вода, ґрунт, шумове навантаження, вібрація) на межах санітарно-захисної зони з населеними пунктами із залученням Лабораторного центру МОЗ України в Івано-Франківській області. Компанія реалізує проект "Мобільна екологічна лабораторія" - переобладнання електроавтомобіля під мобільну лабораторію для моніторингу за станом навколишнього середовища. Компанія дотримується зобов'язань щодо захисту та зменшення гранично допустимих концентрацій викидів забруднюючих речовин в атмосферне повітря. Компанія створила систему управління відходами відповідно до вимог природоохоронного та санітарного законодавства. Модернізовано системи обезпилення транспорту, придбано та встановлено пиловсмоктуючу установку для очистки автоцементовозів від цементного пилу.</w:t>
      </w:r>
    </w:p>
    <w:p w14:paraId="1B66C99F"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Компанія використовує власну сировину, добуває та транспортує породу, мінімізуючи відходи завдяки внутрішньому обміну ресурсами між різними виробництвами. Компанії важливий стан довкілля, тож вона відповідально підходить до його використання. </w:t>
      </w:r>
    </w:p>
    <w:p w14:paraId="51518E56"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5.</w:t>
      </w:r>
      <w:r w:rsidRPr="00537110">
        <w:rPr>
          <w:rFonts w:ascii="Times New Roman" w:eastAsia="Times New Roman" w:hAnsi="Times New Roman" w:cs="Times New Roman"/>
          <w:kern w:val="0"/>
          <w:sz w:val="20"/>
          <w:szCs w:val="20"/>
          <w:lang w:val="en-US" w:eastAsia="uk-UA"/>
          <w14:ligatures w14:val="none"/>
        </w:rPr>
        <w:tab/>
        <w:t>Соціальні аспекти та кадрова політика</w:t>
      </w:r>
    </w:p>
    <w:p w14:paraId="40CE4E36"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Загальна чисельність співробітників Компанії станом на 31 грудня 2023 року складає 1 710 осіб. </w:t>
      </w:r>
    </w:p>
    <w:p w14:paraId="459B46B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Компанія ініціює різноманітні проекти для поширення практик рівних можливостей, заохочення співробітників до створення рівних можливостей для працюючих чоловіків та жінок у процесі працевлаштування та прийняття управлінських рішень. </w:t>
      </w:r>
    </w:p>
    <w:p w14:paraId="70F46677"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Компанією щомісячно по підрозділах здійснюється аналіз впровадження інтегрованої системи менеджменту охорони здоров'я і безпеки праці та охорони навколишнього середовища згідно стандартів ДСТУ ISO 14001:2015 та ДСТУ ISO 45001:2019. Здійснюється постійний контроль наявності дозвільних документів, необхідних кваліфікаційних посвідчень, результатів медогляду про відсутність медичних протипоказань до виконання певного виду робіт. Проводиться комплексна робота із співробітниками щодо охорони праці та безпеки: інструктаж персоналу, модернізація обладнання тощо.</w:t>
      </w:r>
    </w:p>
    <w:p w14:paraId="6B0BE5D4"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Компанія забезпечує навчання та розвиток співробітників за допомогою професійних тренінгів. Спеціалісти компанії мають доступ до найновіших технологій у галузі, а також можливість безперервно навчатися та вдосконалювати свої знання завдяки налагодженій співпраці з українськими та європейськими вищими навчальними закладами.</w:t>
      </w:r>
    </w:p>
    <w:p w14:paraId="427CE6EF"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Компанією забезпечується дотримання прав людини і боротьба з корупцією та хабарництвом шляхом дотримання чинного законодавства України. Компанія турбується про здоров'я й добробут працівників, забезпечуючи їм повний соціальний захист та можливості кар'єрного росту.</w:t>
      </w:r>
    </w:p>
    <w:p w14:paraId="4CB42E79"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6.</w:t>
      </w:r>
      <w:r w:rsidRPr="00537110">
        <w:rPr>
          <w:rFonts w:ascii="Times New Roman" w:eastAsia="Times New Roman" w:hAnsi="Times New Roman" w:cs="Times New Roman"/>
          <w:kern w:val="0"/>
          <w:sz w:val="20"/>
          <w:szCs w:val="20"/>
          <w:lang w:val="en-US" w:eastAsia="uk-UA"/>
          <w14:ligatures w14:val="none"/>
        </w:rPr>
        <w:tab/>
        <w:t>Основні ризики та невизначеності</w:t>
      </w:r>
    </w:p>
    <w:p w14:paraId="3767B50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Ризики, що пов'язані з фінансовими інструментами</w:t>
      </w:r>
    </w:p>
    <w:p w14:paraId="20984B39"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Компанія зазнає кредитного ризику, ризику ліквідності та ринкового ризику у зв'язку з утримуваними нею фінансовими інструментами. </w:t>
      </w:r>
    </w:p>
    <w:p w14:paraId="0D8A8B59"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Ринковий ризик</w:t>
      </w:r>
    </w:p>
    <w:p w14:paraId="17108D4E"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Ринковий ризик - це ризик того, що зміни ринкових цін, наприклад, обмінних курсів іноземних валют, процентних ставок, матимуть негативний вплив на прибуток Компанії або на вартість наявних у неї фінансових інструментів. Мета управління ринковим ризиком полягає в тому, щоб контролювати схильність до ринкового ризику і утримувати її в допустимих межах, при цьому домагаючись оптимізації прибутковості інвестицій. </w:t>
      </w:r>
    </w:p>
    <w:p w14:paraId="7109B71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Кредитний ризик</w:t>
      </w:r>
    </w:p>
    <w:p w14:paraId="1CC29BD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Кредитний ризик виникає тоді, коли невиконання контрагентами їх зобов'язань може призвести до зменшення надходжень від утримуваного фінансового активу на звітну дату. Компанія застосовує політику, яка повинна забезпечити, щоб продажі продукції та послуг здійснювалися клієнтам, які мають належну кредитну історію, та здійснює постійний моніторинг дебіторської заборгованості за строками виникнення.</w:t>
      </w:r>
    </w:p>
    <w:p w14:paraId="70E16BE2"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Управління кредитним ризиком, пов'язаним з торговою дебіторською заборгованістю, здійснюється на основі встановлених політик, процедур і систем контролю, що відносяться до управління кредитним ризиком клієнтів. </w:t>
      </w:r>
    </w:p>
    <w:p w14:paraId="12F4A2B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Ризик ліквідності</w:t>
      </w:r>
    </w:p>
    <w:p w14:paraId="4E12B8EB"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Див. вище.</w:t>
      </w:r>
    </w:p>
    <w:p w14:paraId="3F4CEDEE"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Операційні ризики </w:t>
      </w:r>
    </w:p>
    <w:p w14:paraId="0550A62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Операційний ризик - ризик збитку в результаті неадекватних або помилкових внутрішніх процесів, дій співробітників і систем або зовнішніх подій. Операційні ризики включають юридичні ризики, але виключають стратегічні і репутаційні.</w:t>
      </w:r>
    </w:p>
    <w:p w14:paraId="02029563"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У своїй діяльності Компанія стикається з численними ризиками. Більшість з них є внутрішніми та типовими для всіх організацій (як то ризики, що надходять від співробітників і внутрішніх процесів), і методи управління ними є типовими для всіх організацій. Компанія не є виключенням, і має всі подібні інструменти. В тому числі, системи розподілу посадових обов'язків, систему мотивації персоналу, заходи у галузі охорони та безпеки праці, внутрішні інструкції, наявність систем внутрішнього контролю, служби безпеки, політик та інструментів боротьби з корупцією та шахрайством, системи моніторингу за дотриманням законодавства, включаючи внутрішні навчання та інструктажі, систему контролю за доступом до конфіденційної інформації та інформаційною безпекою, система управління безперервністю діяльності Компанії на випадок надзвичайних подій тощо.</w:t>
      </w:r>
    </w:p>
    <w:p w14:paraId="3829B66E"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Зовнішні ризики Компанії також включають загальні операційні ризики поза зоною контролю та впливу Компанії. Зокрема, до них відносяться фактори нерозвиненості економічного та фінансового ринку, кліматичні та фактори та пов'язані з ними зміни на ринку, вплив на діяльність Компанії частих змін у законодавстві України та регуляторних дій органів влади, зміни вимог у сфері оподаткування чи бухгалтерського обліку тощо. Політикою Компанії є повне дотримання законодавства, норм та стандартів України, в тому числі в галузі охорони навколишнього середовища, охорони здоров'я та безпеки, що може призводить до додаткових витрат на </w:t>
      </w:r>
      <w:r w:rsidRPr="00537110">
        <w:rPr>
          <w:rFonts w:ascii="Times New Roman" w:eastAsia="Times New Roman" w:hAnsi="Times New Roman" w:cs="Times New Roman"/>
          <w:kern w:val="0"/>
          <w:sz w:val="20"/>
          <w:szCs w:val="20"/>
          <w:lang w:val="en-US" w:eastAsia="uk-UA"/>
          <w14:ligatures w14:val="none"/>
        </w:rPr>
        <w:lastRenderedPageBreak/>
        <w:t>дотримання норм і заходи з ліквідації невідповідностей, які впливають на її операційний та фінансовий стан, а також на конкурентне позиціювання на ринку.</w:t>
      </w:r>
    </w:p>
    <w:p w14:paraId="33486E09"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Компанія здійснює ідентифікацію, моніторинг та застосовує заходи мінімізації щодо всіх інших ризиків, не зазначених вище. </w:t>
      </w:r>
    </w:p>
    <w:p w14:paraId="7CB2121A"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7.</w:t>
      </w:r>
      <w:r w:rsidRPr="00537110">
        <w:rPr>
          <w:rFonts w:ascii="Times New Roman" w:eastAsia="Times New Roman" w:hAnsi="Times New Roman" w:cs="Times New Roman"/>
          <w:kern w:val="0"/>
          <w:sz w:val="20"/>
          <w:szCs w:val="20"/>
          <w:lang w:val="en-US" w:eastAsia="uk-UA"/>
          <w14:ligatures w14:val="none"/>
        </w:rPr>
        <w:tab/>
        <w:t>Опис діяльності у сфері досліджень та інновацій</w:t>
      </w:r>
    </w:p>
    <w:p w14:paraId="566D708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Компанія є членом громадського об'єднання Івано-Франківська обласна організація товариства винахідників та раціоналізаторів України. Підприємство являється довгостроковим партнером Національного університету "Львівська Політехніка" та Івано-Франківського технічного університету нафти і газу. Ведуться спільні проекти: випробування будівельних матеріалів і виробів; проведення вимірювань; дослідження енергоощадних технологій виробництва будівельних матеріалів та виробів. Протягом звітного періоду Компанією направлено значні кошти на дослідження та розробки.</w:t>
      </w:r>
    </w:p>
    <w:p w14:paraId="3F838380"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8.</w:t>
      </w:r>
      <w:r w:rsidRPr="00537110">
        <w:rPr>
          <w:rFonts w:ascii="Times New Roman" w:eastAsia="Times New Roman" w:hAnsi="Times New Roman" w:cs="Times New Roman"/>
          <w:kern w:val="0"/>
          <w:sz w:val="20"/>
          <w:szCs w:val="20"/>
          <w:lang w:val="en-US" w:eastAsia="uk-UA"/>
          <w14:ligatures w14:val="none"/>
        </w:rPr>
        <w:tab/>
        <w:t>Інформація про фінансові інвестиції</w:t>
      </w:r>
    </w:p>
    <w:p w14:paraId="33589AC5"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Станом на 31 грудня 2023 р. фінансові інвестиції Компанії в асоційовані і дочірні підприємства складають 316 042 тисячі гривень. Фінансові інвестиції представлені, в основному, інвестиціями в ТОВ "Агроновтех" (315 942 тисячі гривень станом на 31 грудня 2023 р.), вид діяльності якого 70.22 Консультування з питань комерційної діяльності й керування, та ТОВ "Івано-Франківськ-ДАХ" (100 тисяч гривень станом на 31 грудня 2023 р.), вид діяльності якого 23.65 Виготовлення виробів з волокнистого цементу.</w:t>
      </w:r>
    </w:p>
    <w:p w14:paraId="6936462A"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9.</w:t>
      </w:r>
      <w:r w:rsidRPr="00537110">
        <w:rPr>
          <w:rFonts w:ascii="Times New Roman" w:eastAsia="Times New Roman" w:hAnsi="Times New Roman" w:cs="Times New Roman"/>
          <w:kern w:val="0"/>
          <w:sz w:val="20"/>
          <w:szCs w:val="20"/>
          <w:lang w:val="en-US" w:eastAsia="uk-UA"/>
          <w14:ligatures w14:val="none"/>
        </w:rPr>
        <w:tab/>
        <w:t>Ймовірні перспективи подальшого розвитку</w:t>
      </w:r>
    </w:p>
    <w:p w14:paraId="622EA7DA"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Незважаючи на всі ризики та виклики, що виникають в ході господарської діяльності, очікується стабільний розвиток та зростання господарського потенціалу Компанії. До чинників, котрі сприятимуть господарському розвитку Компанії, можна віднести наступні: реконструкція та модернізація діючого виробництва, сучасне обладнання і лабораторний контроль якості продукції, впровадження інноваційних методів управління діяльністю Компанії, зростання асортименту продукції що виробляється, суттєве збільшення потреби в продукції що виробляє підприємство.</w:t>
      </w:r>
    </w:p>
    <w:p w14:paraId="32EA33EF"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Однак 24 лютого 2022 року російські війська розпочали військові дії в декількох місцях України. Зазначені заходи призвели до втрат, значної дислокації населення, пошкодження інфраструктури, введення деяких адміністративних обмежень на операції з конвертації валюти та платежів за кордон Національним банком України та загального значного зриву господарської діяльності в Україні. Це може мати згубний вплив на політичне та ділове середовище в Україні, в тому числі на здатність багатьох суб'єктів продовжувати бізнес як зазвичай.</w:t>
      </w:r>
    </w:p>
    <w:p w14:paraId="5DD71437"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Головним ризиком найближчого часу варто вважати посилення руйнувань енергетичної інфраструктури внаслідок цілеспрямованих ворожих атак.  Так само ймовірною метою агресора може стати спроба руйнування транспортної інфраструктури, що може ускладнити реалізацію важливих та термінових гуманітарних та економічних завдань. Похідним наслідком для економіки може стати подальше ускладнення та здорожчання логістики, зокрема - для експортних поставок. Комплекс ризиків пов'язаний із імовірним зниженням рівня реальних доходів населення.  Зниження купівельної спроможності послабить споживчий попит як важливий рушій економіки.</w:t>
      </w:r>
    </w:p>
    <w:p w14:paraId="1F2F6B42"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p>
    <w:p w14:paraId="79327E51"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p>
    <w:p w14:paraId="69F6B4FB" w14:textId="77777777" w:rsidR="00537110" w:rsidRPr="00537110" w:rsidRDefault="00537110" w:rsidP="00537110">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en-US" w:eastAsia="uk-UA"/>
          <w14:ligatures w14:val="none"/>
        </w:rPr>
      </w:pPr>
    </w:p>
    <w:p w14:paraId="3889E3B7" w14:textId="77777777" w:rsidR="00537110" w:rsidRPr="00537110" w:rsidRDefault="00537110" w:rsidP="00537110">
      <w:pPr>
        <w:spacing w:before="100" w:beforeAutospacing="1" w:after="100" w:afterAutospacing="1" w:line="240" w:lineRule="auto"/>
        <w:jc w:val="center"/>
        <w:outlineLvl w:val="2"/>
        <w:rPr>
          <w:rFonts w:ascii="Times New Roman" w:eastAsia="Times New Roman" w:hAnsi="Times New Roman" w:cs="Times New Roman"/>
          <w:b/>
          <w:bCs/>
          <w:color w:val="000000"/>
          <w:kern w:val="0"/>
          <w:sz w:val="27"/>
          <w:szCs w:val="27"/>
          <w:lang w:eastAsia="uk-UA"/>
          <w14:ligatures w14:val="none"/>
        </w:rPr>
      </w:pPr>
      <w:r w:rsidRPr="00537110">
        <w:rPr>
          <w:rFonts w:ascii="Times New Roman" w:eastAsia="Times New Roman" w:hAnsi="Times New Roman" w:cs="Times New Roman"/>
          <w:b/>
          <w:bCs/>
          <w:color w:val="000000"/>
          <w:kern w:val="0"/>
          <w:sz w:val="27"/>
          <w:szCs w:val="27"/>
          <w:lang w:eastAsia="uk-UA"/>
          <w14:ligatures w14:val="none"/>
        </w:rPr>
        <w:t xml:space="preserve">XVI. Твердження щодо </w:t>
      </w:r>
      <w:r w:rsidRPr="00537110">
        <w:rPr>
          <w:rFonts w:ascii="Times New Roman" w:eastAsia="Times New Roman" w:hAnsi="Times New Roman" w:cs="Times New Roman"/>
          <w:b/>
          <w:bCs/>
          <w:color w:val="000000"/>
          <w:kern w:val="0"/>
          <w:sz w:val="27"/>
          <w:szCs w:val="27"/>
          <w:lang w:val="en-US" w:eastAsia="uk-UA"/>
          <w14:ligatures w14:val="none"/>
        </w:rPr>
        <w:t xml:space="preserve">проміжної </w:t>
      </w:r>
      <w:r w:rsidRPr="00537110">
        <w:rPr>
          <w:rFonts w:ascii="Times New Roman" w:eastAsia="Times New Roman" w:hAnsi="Times New Roman" w:cs="Times New Roman"/>
          <w:b/>
          <w:bCs/>
          <w:color w:val="000000"/>
          <w:kern w:val="0"/>
          <w:sz w:val="27"/>
          <w:szCs w:val="27"/>
          <w:lang w:eastAsia="uk-UA"/>
          <w14:ligatures w14:val="none"/>
        </w:rPr>
        <w:t>інформації</w:t>
      </w:r>
    </w:p>
    <w:p w14:paraId="1CF1B7DA"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Твердження щодо промiжної iнформацiї.</w:t>
      </w:r>
    </w:p>
    <w:p w14:paraId="0026EDE8"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Офiцiйна позицiя осiб, якi здiйснюють управлiнськi функцiї.</w:t>
      </w:r>
    </w:p>
    <w:p w14:paraId="70818A3C"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p>
    <w:p w14:paraId="34A11F67"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r w:rsidRPr="00537110">
        <w:rPr>
          <w:rFonts w:ascii="Times New Roman" w:eastAsia="Times New Roman" w:hAnsi="Times New Roman" w:cs="Times New Roman"/>
          <w:kern w:val="0"/>
          <w:sz w:val="20"/>
          <w:szCs w:val="20"/>
          <w:lang w:val="en-US" w:eastAsia="uk-UA"/>
          <w14:ligatures w14:val="none"/>
        </w:rPr>
        <w:t xml:space="preserve"> Наскiльки нам вiдомо, промiжна фiнансова звiтнiсть за 2022 рік пiдготовлена вiдповiдно до мiжнародних стандартiв фiнансової звiтностi, згiдно iз Законом України &lt;Про бухгалтерський облiк та фiнансову звiтнiсть&gt;, мiстить достовiрне та об'єктивне подання iнформацiї про стан активiв, пасивiв, фiнансовий стан, прибутки та збитки емiтента.  Промiжний звiт керiвництва включає достовiрне та об'єктивне подання iнформацiї вiдповiдно до  статтi 126 Закону України "Про ринки капіталу та організовані товарні ринки"". Промiжна фiнансова звiтнiсть за 2022 рік розкриває всi вiдомi питання, якi мають вiдношення до здатностi Товариства продовжувати безперервну дiяльнiсть, у тому числi iстотнi умови, подiї i плани керiвництва. В даний час не iснує планiв щодо скасування, лiквiдацiї або якого-небудь iншого припинення дiяльностi Товариства.</w:t>
      </w:r>
    </w:p>
    <w:p w14:paraId="243E812B" w14:textId="77777777" w:rsidR="00537110" w:rsidRPr="00537110" w:rsidRDefault="00537110" w:rsidP="00537110">
      <w:pPr>
        <w:spacing w:after="0" w:line="240" w:lineRule="auto"/>
        <w:rPr>
          <w:rFonts w:ascii="Times New Roman" w:eastAsia="Times New Roman" w:hAnsi="Times New Roman" w:cs="Times New Roman"/>
          <w:kern w:val="0"/>
          <w:sz w:val="20"/>
          <w:szCs w:val="20"/>
          <w:lang w:val="en-US" w:eastAsia="uk-UA"/>
          <w14:ligatures w14:val="none"/>
        </w:rPr>
      </w:pPr>
    </w:p>
    <w:p w14:paraId="3DE69F63" w14:textId="77777777" w:rsidR="00EA31B2" w:rsidRDefault="00EA31B2"/>
    <w:sectPr w:rsidR="00EA31B2" w:rsidSect="00FF69E1">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110"/>
    <w:rsid w:val="0001562E"/>
    <w:rsid w:val="00233ECA"/>
    <w:rsid w:val="0023454E"/>
    <w:rsid w:val="00537110"/>
    <w:rsid w:val="00EA31B2"/>
    <w:rsid w:val="00FF69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7E8FD"/>
  <w15:chartTrackingRefBased/>
  <w15:docId w15:val="{DB67D25C-443D-4F78-A0D0-4E8696060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32791</Words>
  <Characters>18691</Characters>
  <Application>Microsoft Office Word</Application>
  <DocSecurity>0</DocSecurity>
  <Lines>155</Lines>
  <Paragraphs>102</Paragraphs>
  <ScaleCrop>false</ScaleCrop>
  <Company/>
  <LinksUpToDate>false</LinksUpToDate>
  <CharactersWithSpaces>51380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Savytska</dc:creator>
  <cp:keywords/>
  <dc:description/>
  <cp:lastModifiedBy>onix@com.if.ua</cp:lastModifiedBy>
  <cp:revision>3</cp:revision>
  <dcterms:created xsi:type="dcterms:W3CDTF">2024-01-29T15:41:00Z</dcterms:created>
  <dcterms:modified xsi:type="dcterms:W3CDTF">2024-01-30T14:55:00Z</dcterms:modified>
</cp:coreProperties>
</file>