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D42B2D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en-US"/>
        </w:rPr>
      </w:pPr>
      <w:bookmarkStart w:id="0" w:name="_GoBack"/>
      <w:bookmarkEnd w:id="0"/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>
        <w:rPr>
          <w:color w:val="000000"/>
          <w:lang w:val="en-US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>
        <w:rPr>
          <w:b w:val="0"/>
          <w:color w:val="000000"/>
          <w:sz w:val="16"/>
          <w:szCs w:val="16"/>
          <w:lang w:val="en-US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C306FC" w:rsidP="00DC6C96">
      <w:pPr>
        <w:pStyle w:val="3"/>
        <w:jc w:val="left"/>
        <w:rPr>
          <w:b w:val="0"/>
          <w:sz w:val="15"/>
          <w:lang w:val="uk-UA"/>
        </w:rPr>
      </w:pPr>
      <w:r>
        <w:rPr>
          <w:b w:val="0"/>
          <w:sz w:val="20"/>
          <w:szCs w:val="20"/>
          <w:u w:val="single"/>
          <w:lang w:val="en-US"/>
        </w:rPr>
        <w:t>27.04.2023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1" w:name="8869"/>
      <w:bookmarkEnd w:id="1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E37D1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7E37D1">
        <w:rPr>
          <w:b w:val="0"/>
          <w:sz w:val="20"/>
          <w:szCs w:val="20"/>
          <w:lang w:val="uk-UA"/>
        </w:rPr>
        <w:t>№</w:t>
      </w:r>
      <w:r>
        <w:rPr>
          <w:b w:val="0"/>
          <w:sz w:val="20"/>
          <w:szCs w:val="20"/>
          <w:lang w:val="en-US"/>
        </w:rPr>
        <w:t xml:space="preserve"> </w:t>
      </w:r>
      <w:r w:rsidR="00C306FC">
        <w:rPr>
          <w:b w:val="0"/>
          <w:sz w:val="20"/>
          <w:szCs w:val="20"/>
          <w:u w:val="single"/>
          <w:lang w:val="en-US"/>
        </w:rPr>
        <w:t>01/770-1/7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1"/>
      </w:tblGrid>
      <w:tr w:rsidR="00DC6C96" w:rsidRPr="0053133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C306FC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Голова правлiння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C306FC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Круць Микола Федорович</w:t>
            </w:r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(підпис)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(прізвище та ініціали керівника</w:t>
            </w:r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4612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>. Загальні відомості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1. Повне найменування емітента</w:t>
            </w:r>
          </w:p>
        </w:tc>
        <w:tc>
          <w:tcPr>
            <w:tcW w:w="2209" w:type="pct"/>
            <w:vAlign w:val="center"/>
          </w:tcPr>
          <w:p w:rsidR="00DC6C96" w:rsidRPr="00DF42E6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Приватне акціонерне товариство "Івано-Франківськцемент"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2. Організаційно-правова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Приватне акцiонерне товариство</w:t>
            </w:r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Місцезнаходження </w:t>
            </w:r>
          </w:p>
        </w:tc>
        <w:tc>
          <w:tcPr>
            <w:tcW w:w="2209" w:type="pct"/>
            <w:vAlign w:val="center"/>
          </w:tcPr>
          <w:p w:rsidR="00D42FB5" w:rsidRPr="00DF42E6" w:rsidRDefault="00C306FC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77422 с. Ямниця, Тисменицький район, Івано-Франківська область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00292988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Міжміський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(0342) 58-37-12 (0342) 58-37-64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vorobets@ifcem.if.ua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r w:rsidR="00C86AFD" w:rsidRPr="00C86AFD">
              <w:rPr>
                <w:b/>
                <w:sz w:val="20"/>
                <w:szCs w:val="20"/>
              </w:rPr>
              <w:t>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      </w:r>
          </w:p>
        </w:tc>
        <w:tc>
          <w:tcPr>
            <w:tcW w:w="2209" w:type="pct"/>
            <w:vAlign w:val="center"/>
          </w:tcPr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Державна установа "Агентство з розвитку інфраструктури фондового ринку України"</w:t>
            </w:r>
          </w:p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531337" w:rsidRPr="009A60E3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      </w:r>
          </w:p>
        </w:tc>
        <w:tc>
          <w:tcPr>
            <w:tcW w:w="2209" w:type="pct"/>
            <w:vAlign w:val="center"/>
          </w:tcPr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Державна установа "Агентство з розвитку інфраструктури фондового ринку України"</w:t>
            </w:r>
          </w:p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306FC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C86AFD" w:rsidRPr="00C86AFD" w:rsidRDefault="00C306FC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306FC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www.ifcem.if.ua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306FC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28.04.2023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662505" w:rsidRDefault="00662505" w:rsidP="00C86AFD">
      <w:pPr>
        <w:rPr>
          <w:lang w:val="en-US"/>
        </w:rPr>
        <w:sectPr w:rsidR="00662505" w:rsidSect="00C306FC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p w:rsidR="00662505" w:rsidRPr="00662505" w:rsidRDefault="00662505" w:rsidP="00662505">
      <w:pPr>
        <w:ind w:left="3540"/>
        <w:rPr>
          <w:sz w:val="20"/>
          <w:szCs w:val="20"/>
          <w:lang w:val="uk-UA" w:eastAsia="uk-UA"/>
        </w:rPr>
      </w:pPr>
      <w:r w:rsidRPr="00662505">
        <w:rPr>
          <w:sz w:val="20"/>
          <w:szCs w:val="20"/>
          <w:lang w:val="uk-UA" w:eastAsia="uk-UA"/>
        </w:rPr>
        <w:lastRenderedPageBreak/>
        <w:t xml:space="preserve">                                Додаток 5</w:t>
      </w:r>
      <w:r w:rsidRPr="00662505">
        <w:rPr>
          <w:sz w:val="20"/>
          <w:szCs w:val="20"/>
          <w:lang w:val="uk-UA" w:eastAsia="uk-UA"/>
        </w:rPr>
        <w:br/>
        <w:t xml:space="preserve">                                 до Положення про розкриття інформації емітентами </w:t>
      </w:r>
    </w:p>
    <w:p w:rsidR="00662505" w:rsidRPr="00662505" w:rsidRDefault="00662505" w:rsidP="00662505">
      <w:pPr>
        <w:ind w:left="3540"/>
        <w:rPr>
          <w:sz w:val="20"/>
          <w:szCs w:val="20"/>
          <w:lang w:val="uk-UA" w:eastAsia="uk-UA"/>
        </w:rPr>
      </w:pPr>
      <w:r w:rsidRPr="00662505">
        <w:rPr>
          <w:sz w:val="20"/>
          <w:szCs w:val="20"/>
          <w:lang w:val="uk-UA" w:eastAsia="uk-UA"/>
        </w:rPr>
        <w:t xml:space="preserve">                                 цінних паперів (пункт 6 глави 1 розділу III)</w:t>
      </w:r>
    </w:p>
    <w:p w:rsidR="00662505" w:rsidRPr="00662505" w:rsidRDefault="00662505" w:rsidP="00662505">
      <w:pPr>
        <w:spacing w:before="100" w:beforeAutospacing="1" w:after="100" w:afterAutospacing="1"/>
        <w:jc w:val="center"/>
        <w:rPr>
          <w:b/>
          <w:lang w:val="uk-UA" w:eastAsia="uk-UA"/>
        </w:rPr>
      </w:pPr>
      <w:r w:rsidRPr="00662505">
        <w:rPr>
          <w:b/>
          <w:lang w:val="uk-UA" w:eastAsia="uk-UA"/>
        </w:rPr>
        <w:t>1. Відомості про прийняття рішення про попереднє надання згоди на вчинення значних правочинів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1634"/>
        <w:gridCol w:w="1819"/>
        <w:gridCol w:w="2049"/>
        <w:gridCol w:w="3435"/>
      </w:tblGrid>
      <w:tr w:rsidR="00662505" w:rsidRPr="00662505" w:rsidTr="004B2EC9">
        <w:trPr>
          <w:trHeight w:val="121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Дата прийняття рішення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Гранична сукупна вартість правочинів (тис. грн.)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Вартість активів емітента за даними останньої річної фінансової звітності   (тис. грн.)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</w:t>
            </w:r>
          </w:p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(у відсотках)</w:t>
            </w:r>
          </w:p>
        </w:tc>
      </w:tr>
      <w:tr w:rsidR="00662505" w:rsidRPr="00662505" w:rsidTr="004B2EC9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505" w:rsidRPr="00662505" w:rsidRDefault="00662505" w:rsidP="0066250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5</w:t>
            </w:r>
          </w:p>
        </w:tc>
      </w:tr>
      <w:tr w:rsidR="00662505" w:rsidRPr="00662505" w:rsidTr="004B2EC9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27.04.2023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20000000.000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8011410.000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249.64395000000</w:t>
            </w:r>
          </w:p>
        </w:tc>
      </w:tr>
      <w:tr w:rsidR="00662505" w:rsidRPr="00662505" w:rsidTr="004B2EC9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505" w:rsidRPr="00662505" w:rsidRDefault="00662505" w:rsidP="00662505">
            <w:pPr>
              <w:rPr>
                <w:b/>
                <w:sz w:val="20"/>
                <w:szCs w:val="20"/>
                <w:lang w:val="uk-UA" w:eastAsia="uk-UA"/>
              </w:rPr>
            </w:pPr>
            <w:r w:rsidRPr="00662505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662505" w:rsidRPr="00662505" w:rsidTr="004B2EC9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505" w:rsidRPr="00662505" w:rsidRDefault="00662505" w:rsidP="00662505">
            <w:pPr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Рішенням (№4 від 27.04.2023р.) єдиного акціонера Приватного акціонерного товариства "Івано-Франківськцемент" (далі - Товариство)     прийнято рішення про надання попередньої згоди на  вчинення значних правочинів Товариством протягом одного року з дати прийняття даного рішення, характер яких пов'язаний з фінансово-господарською діяльністю Товариства, якщо ринкова вартість майна або послуг, що є предметом значного правочину перевищуватиме 25%  вартості активів за даними останньої річної фінансової звітності, а також правочинів, які вчинятимуться за окремим рішенням Наглядової ради зокрема, однак не виключено кредитних договорів, генеральних кредитних договорів, договорів застави, іпотечних договорів, договорів та генеральних угод про проведення операцій з врахування, авалювання, інкасування, доміциляції векселів, договорів порук, договорів про надання гарантій, договорів факторингу (у тому числі договорів про внесення змін та доповнень до договорів, угод, контрактів, в тому числі, зокрема, однак не виключно щодо збільшення ліміту та продовження терміну дії Генерального кредитного договору №5405N2 від 27.12.2005р., договорів про внесення змін до діючих Договорів іпотеки/застави, договорів поруки укладених з АТ "Укрексімбанк") сукупною граничною вартістю 20 000 000 000,00 (двадцять мільярдів) гривень та з граничною вартістю кожного правочину не вище  10 000 000 000,00 (десяти мільярдів) гривень.</w:t>
            </w:r>
          </w:p>
          <w:p w:rsidR="00662505" w:rsidRPr="00662505" w:rsidRDefault="00662505" w:rsidP="00662505">
            <w:pPr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Вартість активів Товариства за даними річної фінансової звітності за 2022 рік становить 8 011 410  тис. грн.</w:t>
            </w:r>
            <w:r w:rsidRPr="00662505">
              <w:rPr>
                <w:sz w:val="20"/>
                <w:szCs w:val="20"/>
                <w:lang w:val="uk-UA" w:eastAsia="uk-UA"/>
              </w:rPr>
              <w:tab/>
            </w:r>
          </w:p>
          <w:p w:rsidR="00662505" w:rsidRPr="00662505" w:rsidRDefault="00662505" w:rsidP="00662505">
            <w:pPr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>Співвідношення граничної сукупності вартості правочинів до вартості активів за даними річної фінансової звітності за 2022 рік - 249,64395%.</w:t>
            </w:r>
          </w:p>
          <w:p w:rsidR="00662505" w:rsidRPr="00662505" w:rsidRDefault="00662505" w:rsidP="00662505">
            <w:pPr>
              <w:rPr>
                <w:sz w:val="20"/>
                <w:szCs w:val="20"/>
                <w:lang w:val="uk-UA" w:eastAsia="uk-UA"/>
              </w:rPr>
            </w:pPr>
            <w:r w:rsidRPr="00662505">
              <w:rPr>
                <w:sz w:val="20"/>
                <w:szCs w:val="20"/>
                <w:lang w:val="uk-UA" w:eastAsia="uk-UA"/>
              </w:rPr>
              <w:t xml:space="preserve"> </w:t>
            </w:r>
          </w:p>
          <w:p w:rsidR="00662505" w:rsidRPr="00662505" w:rsidRDefault="00662505" w:rsidP="00662505">
            <w:pPr>
              <w:rPr>
                <w:sz w:val="20"/>
                <w:szCs w:val="20"/>
                <w:lang w:val="uk-UA" w:eastAsia="uk-UA"/>
              </w:rPr>
            </w:pPr>
          </w:p>
        </w:tc>
      </w:tr>
    </w:tbl>
    <w:p w:rsidR="00662505" w:rsidRPr="00662505" w:rsidRDefault="00662505" w:rsidP="00662505">
      <w:pPr>
        <w:rPr>
          <w:lang w:val="en-US" w:eastAsia="uk-UA"/>
        </w:rPr>
      </w:pPr>
    </w:p>
    <w:p w:rsidR="003C4C1A" w:rsidRDefault="003C4C1A" w:rsidP="00C86AFD">
      <w:pPr>
        <w:rPr>
          <w:lang w:val="en-US"/>
        </w:rPr>
      </w:pPr>
    </w:p>
    <w:sectPr w:rsidR="003C4C1A" w:rsidSect="00662505">
      <w:pgSz w:w="11906" w:h="16838"/>
      <w:pgMar w:top="363" w:right="567" w:bottom="36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FC"/>
    <w:rsid w:val="00020BCB"/>
    <w:rsid w:val="001714DF"/>
    <w:rsid w:val="00244204"/>
    <w:rsid w:val="002D6506"/>
    <w:rsid w:val="003275D1"/>
    <w:rsid w:val="00375E69"/>
    <w:rsid w:val="003C4C1A"/>
    <w:rsid w:val="004263EB"/>
    <w:rsid w:val="0044001B"/>
    <w:rsid w:val="004E61FF"/>
    <w:rsid w:val="00531337"/>
    <w:rsid w:val="00662505"/>
    <w:rsid w:val="006C6B5C"/>
    <w:rsid w:val="007E37D1"/>
    <w:rsid w:val="007F5510"/>
    <w:rsid w:val="00902454"/>
    <w:rsid w:val="009A60E3"/>
    <w:rsid w:val="009F2C05"/>
    <w:rsid w:val="00A372E3"/>
    <w:rsid w:val="00B71BC8"/>
    <w:rsid w:val="00C306FC"/>
    <w:rsid w:val="00C86AFD"/>
    <w:rsid w:val="00CD55EE"/>
    <w:rsid w:val="00D055A7"/>
    <w:rsid w:val="00D42B2D"/>
    <w:rsid w:val="00D42FB5"/>
    <w:rsid w:val="00DC6C96"/>
    <w:rsid w:val="00DF42E6"/>
    <w:rsid w:val="00E209DB"/>
    <w:rsid w:val="00FA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8F90E-1961-4696-BA08-D8EAD92D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0;&#1030;&#1053;&#1055;&#1054;&#1056;&#1058;%20&#1054;&#1057;&#1054;&#1041;&#1051;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0409-B7E5-4A49-BAD2-C9D628DF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0</TotalTime>
  <Pages>2</Pages>
  <Words>3182</Words>
  <Characters>1815</Characters>
  <Application>Microsoft Office Word</Application>
  <DocSecurity>0</DocSecurity>
  <Lines>15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9</vt:i4>
      </vt:variant>
      <vt:variant>
        <vt:lpstr>Название</vt:lpstr>
      </vt:variant>
      <vt:variant>
        <vt:i4>1</vt:i4>
      </vt:variant>
    </vt:vector>
  </HeadingPairs>
  <TitlesOfParts>
    <vt:vector size="11" baseType="lpstr">
      <vt:lpstr>Титульний аркуш</vt:lpstr>
      <vt:lpstr>        Додаток 1</vt:lpstr>
      <vt:lpstr>        до Положення про розкриття інформації емітентами</vt:lpstr>
      <vt:lpstr>        цінних паперів (пункт 7 глави 1 розділу II)</vt:lpstr>
      <vt:lpstr>        </vt:lpstr>
      <vt:lpstr>        27.04.2023</vt:lpstr>
      <vt:lpstr>        </vt:lpstr>
      <vt:lpstr>        № 01/770-1/7</vt:lpstr>
      <vt:lpstr>        (вихідний реєстраційний номер електронного документа)</vt:lpstr>
      <vt:lpstr>        </vt:lpstr>
      <vt:lpstr>                                          Титульний аркуш</vt:lpstr>
    </vt:vector>
  </TitlesOfParts>
  <Company>Reanimator Extreme Edition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Nataliya</dc:creator>
  <cp:keywords/>
  <cp:lastModifiedBy>Nataliya</cp:lastModifiedBy>
  <cp:revision>2</cp:revision>
  <cp:lastPrinted>2013-07-11T13:29:00Z</cp:lastPrinted>
  <dcterms:created xsi:type="dcterms:W3CDTF">2023-04-28T07:24:00Z</dcterms:created>
  <dcterms:modified xsi:type="dcterms:W3CDTF">2023-04-28T07:24:00Z</dcterms:modified>
</cp:coreProperties>
</file>