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C0B" w:rsidRPr="00F244EC" w:rsidRDefault="00020C0B" w:rsidP="00020C0B">
      <w:pPr>
        <w:ind w:left="6372"/>
      </w:pPr>
      <w:r w:rsidRPr="00F244EC">
        <w:t xml:space="preserve">Додаток </w:t>
      </w:r>
      <w:r w:rsidR="00C9351C" w:rsidRPr="00F244EC">
        <w:t>2</w:t>
      </w:r>
    </w:p>
    <w:p w:rsidR="00020C0B" w:rsidRPr="00F244EC" w:rsidRDefault="00020C0B" w:rsidP="00020C0B">
      <w:pPr>
        <w:ind w:left="6372"/>
      </w:pPr>
      <w:r w:rsidRPr="00F244EC">
        <w:t>до договору про постачання</w:t>
      </w:r>
    </w:p>
    <w:p w:rsidR="00D026DA" w:rsidRPr="00F244EC" w:rsidRDefault="00020C0B" w:rsidP="00020C0B">
      <w:pPr>
        <w:ind w:left="6379"/>
      </w:pPr>
      <w:r w:rsidRPr="00F244EC">
        <w:t>електричної енергії споживачу</w:t>
      </w:r>
    </w:p>
    <w:p w:rsidR="00020C0B" w:rsidRPr="00F244EC" w:rsidRDefault="00020C0B" w:rsidP="00020C0B">
      <w:pPr>
        <w:ind w:left="6379"/>
        <w:rPr>
          <w:b/>
        </w:rPr>
      </w:pPr>
    </w:p>
    <w:p w:rsidR="00020C0B" w:rsidRPr="00F244EC" w:rsidRDefault="00020C0B" w:rsidP="00020C0B">
      <w:pPr>
        <w:jc w:val="center"/>
        <w:rPr>
          <w:b/>
        </w:rPr>
      </w:pPr>
      <w:r w:rsidRPr="00F244EC">
        <w:rPr>
          <w:b/>
        </w:rPr>
        <w:t xml:space="preserve">КОМЕРЦІЙНА ПРОПОЗИЦІЯ </w:t>
      </w:r>
    </w:p>
    <w:p w:rsidR="00020C0B" w:rsidRPr="00F244EC" w:rsidRDefault="00020C0B" w:rsidP="00020C0B">
      <w:pPr>
        <w:jc w:val="center"/>
      </w:pPr>
    </w:p>
    <w:p w:rsidR="00A00D44" w:rsidRPr="00F244EC" w:rsidRDefault="00F244EC" w:rsidP="00020C0B">
      <w:pPr>
        <w:jc w:val="both"/>
      </w:pPr>
      <w:r w:rsidRPr="00F244EC">
        <w:rPr>
          <w:b/>
        </w:rPr>
        <w:t>Приватне акціонерне товариство «Івано-</w:t>
      </w:r>
      <w:proofErr w:type="spellStart"/>
      <w:r w:rsidRPr="00F244EC">
        <w:rPr>
          <w:b/>
        </w:rPr>
        <w:t>Франківськцемент</w:t>
      </w:r>
      <w:proofErr w:type="spellEnd"/>
      <w:r w:rsidRPr="00F244EC">
        <w:rPr>
          <w:b/>
        </w:rPr>
        <w:t>»</w:t>
      </w:r>
      <w:r w:rsidR="00A00D44" w:rsidRPr="00F244EC">
        <w:t xml:space="preserve"> пропонує розглянути умови комерційної пропозиції щодо постачання електричної енергії споживачу.</w:t>
      </w:r>
    </w:p>
    <w:p w:rsidR="00A00D44" w:rsidRPr="00F244EC" w:rsidRDefault="00A00D44" w:rsidP="00020C0B">
      <w:pPr>
        <w:jc w:val="both"/>
      </w:pPr>
    </w:p>
    <w:p w:rsidR="00020C0B" w:rsidRPr="00F244EC" w:rsidRDefault="00A00D44" w:rsidP="00020C0B">
      <w:pPr>
        <w:jc w:val="both"/>
      </w:pPr>
      <w:r w:rsidRPr="00F244EC">
        <w:t>Дана комерційна пропозиція підготовлена в</w:t>
      </w:r>
      <w:r w:rsidR="00020C0B" w:rsidRPr="00F244EC">
        <w:t xml:space="preserve">ідповідно до норм Закону України «Про ринок електричної енергії», Правил роздрібного ринку електричної енергії, затверджених постановою НКРЕКП, від 14.03.2018 №312 (далі – ПРРЕЕ), Цивільного кодексу України та Господарського кодексу України </w:t>
      </w:r>
    </w:p>
    <w:p w:rsidR="00020C0B" w:rsidRPr="00F244EC" w:rsidRDefault="00020C0B" w:rsidP="00020C0B">
      <w:pPr>
        <w:jc w:val="both"/>
      </w:pPr>
    </w:p>
    <w:tbl>
      <w:tblPr>
        <w:tblStyle w:val="a3"/>
        <w:tblW w:w="10196" w:type="dxa"/>
        <w:tblLook w:val="04A0" w:firstRow="1" w:lastRow="0" w:firstColumn="1" w:lastColumn="0" w:noHBand="0" w:noVBand="1"/>
      </w:tblPr>
      <w:tblGrid>
        <w:gridCol w:w="1980"/>
        <w:gridCol w:w="8216"/>
      </w:tblGrid>
      <w:tr w:rsidR="00020C0B" w:rsidRPr="00F244EC" w:rsidTr="00B51A08">
        <w:tc>
          <w:tcPr>
            <w:tcW w:w="1980" w:type="dxa"/>
          </w:tcPr>
          <w:p w:rsidR="00020C0B" w:rsidRPr="00F244EC" w:rsidRDefault="00C9351C" w:rsidP="00020C0B">
            <w:pPr>
              <w:jc w:val="both"/>
            </w:pPr>
            <w:r w:rsidRPr="00F244EC">
              <w:t xml:space="preserve">Ціна </w:t>
            </w:r>
          </w:p>
        </w:tc>
        <w:tc>
          <w:tcPr>
            <w:tcW w:w="8216" w:type="dxa"/>
          </w:tcPr>
          <w:p w:rsidR="00C9351C" w:rsidRPr="00F244EC" w:rsidRDefault="00C9351C" w:rsidP="00F244EC">
            <w:pPr>
              <w:jc w:val="both"/>
              <w:rPr>
                <w:b/>
              </w:rPr>
            </w:pPr>
            <w:r w:rsidRPr="00F244EC">
              <w:t>Ціна на електричну енергію</w:t>
            </w:r>
            <w:r w:rsidR="004C57B9" w:rsidRPr="00F244EC">
              <w:t xml:space="preserve"> </w:t>
            </w:r>
            <w:r w:rsidR="00F244EC" w:rsidRPr="00F244EC">
              <w:t xml:space="preserve">становить 5 грн. за 1 </w:t>
            </w:r>
            <w:proofErr w:type="spellStart"/>
            <w:r w:rsidR="00F244EC" w:rsidRPr="00F244EC">
              <w:t>кВт.год</w:t>
            </w:r>
            <w:proofErr w:type="spellEnd"/>
          </w:p>
          <w:p w:rsidR="004C57B9" w:rsidRPr="00F244EC" w:rsidRDefault="00F244EC" w:rsidP="00020C0B">
            <w:pPr>
              <w:jc w:val="both"/>
            </w:pPr>
            <w:r w:rsidRPr="00F244EC">
              <w:t>З</w:t>
            </w:r>
            <w:r w:rsidR="004C57B9" w:rsidRPr="00F244EC">
              <w:t>агальна вартість продажу електричної енергії вказуються Постачальником в акті купівлі-продажу</w:t>
            </w:r>
          </w:p>
          <w:p w:rsidR="004C57B9" w:rsidRPr="00F244EC" w:rsidRDefault="004C57B9" w:rsidP="00020C0B">
            <w:pPr>
              <w:jc w:val="both"/>
            </w:pPr>
          </w:p>
        </w:tc>
      </w:tr>
      <w:tr w:rsidR="00020C0B" w:rsidRPr="00F244EC" w:rsidTr="00B51A08">
        <w:tc>
          <w:tcPr>
            <w:tcW w:w="1980" w:type="dxa"/>
          </w:tcPr>
          <w:p w:rsidR="00020C0B" w:rsidRPr="00F244EC" w:rsidRDefault="004C57B9" w:rsidP="00020C0B">
            <w:pPr>
              <w:jc w:val="both"/>
            </w:pPr>
            <w:r w:rsidRPr="00F244EC">
              <w:t>Спосіб оплати</w:t>
            </w:r>
          </w:p>
        </w:tc>
        <w:tc>
          <w:tcPr>
            <w:tcW w:w="8216" w:type="dxa"/>
          </w:tcPr>
          <w:p w:rsidR="00020C0B" w:rsidRPr="00F244EC" w:rsidRDefault="004C57B9" w:rsidP="00020C0B">
            <w:pPr>
              <w:jc w:val="both"/>
            </w:pPr>
            <w:r w:rsidRPr="00F244EC">
              <w:t xml:space="preserve">Оплата проводиться у безготівковій формі </w:t>
            </w:r>
            <w:r w:rsidR="00F244EC" w:rsidRPr="00F244EC">
              <w:t>100% авансовим платежем</w:t>
            </w:r>
          </w:p>
          <w:p w:rsidR="004C57B9" w:rsidRPr="00F244EC" w:rsidRDefault="004C57B9" w:rsidP="00B51A08">
            <w:pPr>
              <w:jc w:val="both"/>
            </w:pPr>
          </w:p>
        </w:tc>
      </w:tr>
      <w:tr w:rsidR="00020C0B" w:rsidRPr="00F244EC" w:rsidTr="00B51A08">
        <w:tc>
          <w:tcPr>
            <w:tcW w:w="1980" w:type="dxa"/>
          </w:tcPr>
          <w:p w:rsidR="00020C0B" w:rsidRPr="00F244EC" w:rsidRDefault="00B51A08" w:rsidP="00020C0B">
            <w:pPr>
              <w:jc w:val="both"/>
            </w:pPr>
            <w:r w:rsidRPr="00F244EC">
              <w:t>Термін надання рахунку та його оплати</w:t>
            </w:r>
          </w:p>
        </w:tc>
        <w:tc>
          <w:tcPr>
            <w:tcW w:w="8216" w:type="dxa"/>
          </w:tcPr>
          <w:p w:rsidR="00020C0B" w:rsidRPr="00F244EC" w:rsidRDefault="00B51A08" w:rsidP="00020C0B">
            <w:pPr>
              <w:jc w:val="both"/>
            </w:pPr>
            <w:r w:rsidRPr="00F244EC">
              <w:t xml:space="preserve">Рахунок на оплату надається Постачальником споживачу за </w:t>
            </w:r>
            <w:r w:rsidR="00F244EC" w:rsidRPr="00F244EC">
              <w:t>5</w:t>
            </w:r>
            <w:r w:rsidRPr="00F244EC">
              <w:t xml:space="preserve"> (</w:t>
            </w:r>
            <w:r w:rsidR="00F244EC" w:rsidRPr="00F244EC">
              <w:t>п’ять</w:t>
            </w:r>
            <w:r w:rsidRPr="00F244EC">
              <w:t>) робочих днів до 25 числа місяця, що передує розрахунковому.</w:t>
            </w:r>
            <w:r w:rsidR="00F244EC" w:rsidRPr="00F244EC">
              <w:t xml:space="preserve"> Оплата рахунку повинна бути здійсненою протягом 5 банківських днів.</w:t>
            </w:r>
            <w:r w:rsidRPr="00F244EC">
              <w:t xml:space="preserve"> </w:t>
            </w:r>
          </w:p>
        </w:tc>
      </w:tr>
      <w:tr w:rsidR="00020C0B" w:rsidRPr="00F244EC" w:rsidTr="00B51A08">
        <w:tc>
          <w:tcPr>
            <w:tcW w:w="1980" w:type="dxa"/>
          </w:tcPr>
          <w:p w:rsidR="00020C0B" w:rsidRPr="00F244EC" w:rsidRDefault="00B51A08" w:rsidP="00020C0B">
            <w:pPr>
              <w:jc w:val="both"/>
            </w:pPr>
            <w:r w:rsidRPr="00F244EC">
              <w:t>Оплата послуг ОРС</w:t>
            </w:r>
          </w:p>
        </w:tc>
        <w:tc>
          <w:tcPr>
            <w:tcW w:w="8216" w:type="dxa"/>
          </w:tcPr>
          <w:p w:rsidR="00020C0B" w:rsidRPr="00F244EC" w:rsidRDefault="00B51A08" w:rsidP="00020C0B">
            <w:pPr>
              <w:jc w:val="both"/>
            </w:pPr>
            <w:r w:rsidRPr="00F244EC">
              <w:t>Оплата послуг за розподіл електричної енергії здійснюється Споживач самостійно</w:t>
            </w:r>
          </w:p>
        </w:tc>
      </w:tr>
      <w:tr w:rsidR="00020C0B" w:rsidRPr="00F244EC" w:rsidTr="00B51A08">
        <w:tc>
          <w:tcPr>
            <w:tcW w:w="1980" w:type="dxa"/>
          </w:tcPr>
          <w:p w:rsidR="00020C0B" w:rsidRPr="00F244EC" w:rsidRDefault="00435961" w:rsidP="00020C0B">
            <w:pPr>
              <w:jc w:val="both"/>
            </w:pPr>
            <w:r w:rsidRPr="00F244EC">
              <w:t>Пеня</w:t>
            </w:r>
            <w:r w:rsidR="00B51A08" w:rsidRPr="00F244EC">
              <w:t xml:space="preserve"> </w:t>
            </w:r>
          </w:p>
        </w:tc>
        <w:tc>
          <w:tcPr>
            <w:tcW w:w="8216" w:type="dxa"/>
          </w:tcPr>
          <w:p w:rsidR="00020C0B" w:rsidRPr="00F244EC" w:rsidRDefault="00435961" w:rsidP="00020C0B">
            <w:pPr>
              <w:jc w:val="both"/>
            </w:pPr>
            <w:r w:rsidRPr="00F244EC">
              <w:t xml:space="preserve">За порушення строків оплати Споживач на вимогу Постачальника зобов’язаний сплатити пеню у розмірі подвійної облікової ставки НБУ від суми прострочення за весь </w:t>
            </w:r>
            <w:r w:rsidR="00A00D44" w:rsidRPr="00F244EC">
              <w:t>період</w:t>
            </w:r>
            <w:r w:rsidRPr="00F244EC">
              <w:t xml:space="preserve"> такого прострочення</w:t>
            </w:r>
          </w:p>
        </w:tc>
      </w:tr>
      <w:tr w:rsidR="00020C0B" w:rsidRPr="00F244EC" w:rsidTr="00B51A08">
        <w:tc>
          <w:tcPr>
            <w:tcW w:w="1980" w:type="dxa"/>
          </w:tcPr>
          <w:p w:rsidR="00020C0B" w:rsidRPr="00F244EC" w:rsidRDefault="00435961" w:rsidP="00020C0B">
            <w:pPr>
              <w:jc w:val="both"/>
            </w:pPr>
            <w:r w:rsidRPr="00F244EC">
              <w:t>Розмір штрафу за дострокове розірвання Договору</w:t>
            </w:r>
          </w:p>
        </w:tc>
        <w:tc>
          <w:tcPr>
            <w:tcW w:w="8216" w:type="dxa"/>
          </w:tcPr>
          <w:p w:rsidR="00020C0B" w:rsidRPr="00F244EC" w:rsidRDefault="00435961" w:rsidP="00020C0B">
            <w:pPr>
              <w:jc w:val="both"/>
            </w:pPr>
            <w:r w:rsidRPr="00F244EC">
              <w:t xml:space="preserve">За дострокове розірвання договору Споживач на вимогу Постачальника зобов’язаний сплатити штраф у розмірі </w:t>
            </w:r>
            <w:r w:rsidR="00F244EC" w:rsidRPr="00F244EC">
              <w:t>3</w:t>
            </w:r>
            <w:r w:rsidR="00A00D44" w:rsidRPr="00F244EC">
              <w:t>0</w:t>
            </w:r>
            <w:r w:rsidRPr="00F244EC">
              <w:t>% вартості електричної енергії, спожитої в місяць, що передує місяцю в якому договір розривається</w:t>
            </w:r>
            <w:r w:rsidR="00380385" w:rsidRPr="00F244EC">
              <w:t>.</w:t>
            </w:r>
          </w:p>
        </w:tc>
      </w:tr>
      <w:tr w:rsidR="00020C0B" w:rsidRPr="00F244EC" w:rsidTr="00B51A08">
        <w:tc>
          <w:tcPr>
            <w:tcW w:w="1980" w:type="dxa"/>
          </w:tcPr>
          <w:p w:rsidR="00020C0B" w:rsidRPr="00F244EC" w:rsidRDefault="00435961" w:rsidP="00020C0B">
            <w:pPr>
              <w:jc w:val="both"/>
            </w:pPr>
            <w:r w:rsidRPr="00F244EC">
              <w:t>Термін дії договору та умови пролонгації</w:t>
            </w:r>
          </w:p>
        </w:tc>
        <w:tc>
          <w:tcPr>
            <w:tcW w:w="8216" w:type="dxa"/>
          </w:tcPr>
          <w:p w:rsidR="00380385" w:rsidRPr="00F244EC" w:rsidRDefault="00380385" w:rsidP="00020C0B">
            <w:pPr>
              <w:jc w:val="both"/>
            </w:pPr>
            <w:r w:rsidRPr="00F244EC">
              <w:t>Договір набирає чинності з моменту отримання Постачальником заяви-приєднання та комерційної пропозиції</w:t>
            </w:r>
            <w:r w:rsidR="00A00D44" w:rsidRPr="00F244EC">
              <w:t xml:space="preserve">. Договір </w:t>
            </w:r>
            <w:r w:rsidRPr="00F244EC">
              <w:t>діє до 31.12.2019.</w:t>
            </w:r>
          </w:p>
          <w:p w:rsidR="00020C0B" w:rsidRPr="00F244EC" w:rsidRDefault="00380385" w:rsidP="00020C0B">
            <w:pPr>
              <w:jc w:val="both"/>
            </w:pPr>
            <w:r w:rsidRPr="00F244EC">
              <w:t xml:space="preserve">Якщо жодна із Сторін за </w:t>
            </w:r>
            <w:r w:rsidR="00A00D44" w:rsidRPr="00F244EC">
              <w:t>15</w:t>
            </w:r>
            <w:r w:rsidRPr="00F244EC">
              <w:t xml:space="preserve"> календарних днів до дати закінчення терміну дії Договору письмово не повідомила іншу Сторону про намір розірвати Договір, </w:t>
            </w:r>
            <w:r w:rsidR="007A7685" w:rsidRPr="00F244EC">
              <w:t>Д</w:t>
            </w:r>
            <w:r w:rsidRPr="00F244EC">
              <w:t>оговір автоматично пролонгується на наступний рік</w:t>
            </w:r>
            <w:r w:rsidR="00A00D44" w:rsidRPr="00F244EC">
              <w:t xml:space="preserve"> на тих самих умовах.</w:t>
            </w:r>
            <w:r w:rsidRPr="00F244EC">
              <w:t xml:space="preserve">  </w:t>
            </w:r>
          </w:p>
        </w:tc>
      </w:tr>
      <w:tr w:rsidR="00A00D44" w:rsidRPr="00F244EC" w:rsidTr="00B51A08">
        <w:tc>
          <w:tcPr>
            <w:tcW w:w="1980" w:type="dxa"/>
          </w:tcPr>
          <w:p w:rsidR="00A00D44" w:rsidRPr="00F244EC" w:rsidRDefault="00A00D44" w:rsidP="00A00D44">
            <w:r w:rsidRPr="00F244EC">
              <w:t xml:space="preserve">Критерії </w:t>
            </w:r>
          </w:p>
        </w:tc>
        <w:tc>
          <w:tcPr>
            <w:tcW w:w="8216" w:type="dxa"/>
          </w:tcPr>
          <w:p w:rsidR="00A00D44" w:rsidRPr="00F244EC" w:rsidRDefault="00A00D44" w:rsidP="00A00D44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both"/>
            </w:pPr>
            <w:r w:rsidRPr="00F244EC">
              <w:t>наявність засобів комерційного обліку, що відповідають вимогам Комерційного обліку;</w:t>
            </w:r>
          </w:p>
          <w:p w:rsidR="00A00D44" w:rsidRPr="00F244EC" w:rsidRDefault="00A00D44" w:rsidP="00A00D44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both"/>
            </w:pPr>
            <w:r w:rsidRPr="00F244EC">
              <w:t xml:space="preserve">місячне споживання електроенергії становить </w:t>
            </w:r>
            <w:r w:rsidR="00F244EC" w:rsidRPr="00F244EC">
              <w:t>9</w:t>
            </w:r>
            <w:r w:rsidRPr="00F244EC">
              <w:t xml:space="preserve">00 000 </w:t>
            </w:r>
            <w:proofErr w:type="spellStart"/>
            <w:r w:rsidRPr="00F244EC">
              <w:t>кВт.год</w:t>
            </w:r>
            <w:proofErr w:type="spellEnd"/>
            <w:r w:rsidRPr="00F244EC">
              <w:t>. та більше</w:t>
            </w:r>
          </w:p>
        </w:tc>
      </w:tr>
      <w:tr w:rsidR="00A00D44" w:rsidRPr="00F244EC" w:rsidTr="00B51A08">
        <w:tc>
          <w:tcPr>
            <w:tcW w:w="1980" w:type="dxa"/>
          </w:tcPr>
          <w:p w:rsidR="00A00D44" w:rsidRPr="00F244EC" w:rsidRDefault="00A00D44" w:rsidP="00A00D44">
            <w:pPr>
              <w:jc w:val="both"/>
            </w:pPr>
            <w:r w:rsidRPr="00F244EC">
              <w:t>Можливість надання пільг, субсидій</w:t>
            </w:r>
          </w:p>
        </w:tc>
        <w:tc>
          <w:tcPr>
            <w:tcW w:w="8216" w:type="dxa"/>
          </w:tcPr>
          <w:p w:rsidR="00A00D44" w:rsidRPr="00F244EC" w:rsidRDefault="00A00D44" w:rsidP="00A00D44">
            <w:pPr>
              <w:jc w:val="both"/>
            </w:pPr>
            <w:r w:rsidRPr="00F244EC">
              <w:t>Не застосовується</w:t>
            </w:r>
          </w:p>
        </w:tc>
      </w:tr>
      <w:tr w:rsidR="00764FA4" w:rsidRPr="00F244EC" w:rsidTr="00B51A08">
        <w:tc>
          <w:tcPr>
            <w:tcW w:w="1980" w:type="dxa"/>
          </w:tcPr>
          <w:p w:rsidR="00764FA4" w:rsidRPr="00764FA4" w:rsidRDefault="00764FA4" w:rsidP="00A00D44">
            <w:pPr>
              <w:jc w:val="both"/>
            </w:pPr>
            <w:r>
              <w:t>Територія дії пропозиції</w:t>
            </w:r>
            <w:bookmarkStart w:id="0" w:name="_GoBack"/>
            <w:bookmarkEnd w:id="0"/>
          </w:p>
        </w:tc>
        <w:tc>
          <w:tcPr>
            <w:tcW w:w="8216" w:type="dxa"/>
          </w:tcPr>
          <w:p w:rsidR="00764FA4" w:rsidRPr="00F244EC" w:rsidRDefault="00764FA4" w:rsidP="00A00D44">
            <w:pPr>
              <w:jc w:val="both"/>
            </w:pPr>
            <w:r>
              <w:t>Івано-Франківська область</w:t>
            </w:r>
          </w:p>
        </w:tc>
      </w:tr>
    </w:tbl>
    <w:p w:rsidR="00020C0B" w:rsidRPr="00F244EC" w:rsidRDefault="00020C0B" w:rsidP="00020C0B">
      <w:pPr>
        <w:jc w:val="both"/>
      </w:pPr>
      <w:r w:rsidRPr="00F244EC">
        <w:t xml:space="preserve"> </w:t>
      </w:r>
    </w:p>
    <w:p w:rsidR="007A7685" w:rsidRPr="00F244EC" w:rsidRDefault="007A7685" w:rsidP="00020C0B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2"/>
        <w:gridCol w:w="4737"/>
      </w:tblGrid>
      <w:tr w:rsidR="007A7685" w:rsidRPr="00F244EC" w:rsidTr="00AE1CE8">
        <w:tc>
          <w:tcPr>
            <w:tcW w:w="5065" w:type="dxa"/>
            <w:shd w:val="clear" w:color="auto" w:fill="auto"/>
          </w:tcPr>
          <w:p w:rsidR="00F244EC" w:rsidRPr="00F244EC" w:rsidRDefault="00F244EC" w:rsidP="00F244EC">
            <w:pPr>
              <w:jc w:val="center"/>
              <w:rPr>
                <w:b/>
              </w:rPr>
            </w:pPr>
            <w:r w:rsidRPr="00F244EC">
              <w:rPr>
                <w:b/>
              </w:rPr>
              <w:t>Постачальник</w:t>
            </w:r>
          </w:p>
          <w:p w:rsidR="00F244EC" w:rsidRPr="00F244EC" w:rsidRDefault="00F244EC" w:rsidP="00F244EC">
            <w:pPr>
              <w:jc w:val="center"/>
              <w:rPr>
                <w:b/>
              </w:rPr>
            </w:pPr>
            <w:r w:rsidRPr="00F244EC">
              <w:rPr>
                <w:b/>
              </w:rPr>
              <w:t>ПрАТ «Івано-</w:t>
            </w:r>
            <w:proofErr w:type="spellStart"/>
            <w:r w:rsidRPr="00F244EC">
              <w:rPr>
                <w:b/>
              </w:rPr>
              <w:t>Франківськцемент</w:t>
            </w:r>
            <w:proofErr w:type="spellEnd"/>
            <w:r w:rsidRPr="00F244EC">
              <w:rPr>
                <w:b/>
              </w:rPr>
              <w:t>»</w:t>
            </w:r>
          </w:p>
          <w:p w:rsidR="00F244EC" w:rsidRPr="00F244EC" w:rsidRDefault="00F244EC" w:rsidP="00F244EC">
            <w:pPr>
              <w:jc w:val="both"/>
              <w:rPr>
                <w:b/>
              </w:rPr>
            </w:pPr>
            <w:r w:rsidRPr="00F244EC">
              <w:rPr>
                <w:b/>
              </w:rPr>
              <w:t xml:space="preserve">77422 </w:t>
            </w:r>
            <w:proofErr w:type="spellStart"/>
            <w:r w:rsidRPr="00F244EC">
              <w:rPr>
                <w:b/>
              </w:rPr>
              <w:t>вул.Н.Яремчука</w:t>
            </w:r>
            <w:proofErr w:type="spellEnd"/>
            <w:r w:rsidRPr="00F244EC">
              <w:rPr>
                <w:b/>
              </w:rPr>
              <w:t xml:space="preserve">, 2 </w:t>
            </w:r>
            <w:proofErr w:type="spellStart"/>
            <w:r w:rsidRPr="00F244EC">
              <w:rPr>
                <w:b/>
              </w:rPr>
              <w:t>с.Ямниця</w:t>
            </w:r>
            <w:proofErr w:type="spellEnd"/>
            <w:r w:rsidRPr="00F244EC">
              <w:rPr>
                <w:b/>
              </w:rPr>
              <w:t xml:space="preserve"> Тисменицький район, Івано-Франківська область</w:t>
            </w:r>
          </w:p>
          <w:p w:rsidR="00F244EC" w:rsidRPr="00F244EC" w:rsidRDefault="00F244EC" w:rsidP="00F244EC">
            <w:pPr>
              <w:jc w:val="both"/>
              <w:rPr>
                <w:b/>
              </w:rPr>
            </w:pPr>
            <w:r w:rsidRPr="00F244EC">
              <w:rPr>
                <w:b/>
              </w:rPr>
              <w:t>Код ЄДРПОУ 00292988</w:t>
            </w:r>
          </w:p>
          <w:p w:rsidR="00F244EC" w:rsidRPr="00F244EC" w:rsidRDefault="00F244EC" w:rsidP="00F244EC">
            <w:pPr>
              <w:jc w:val="both"/>
              <w:rPr>
                <w:b/>
              </w:rPr>
            </w:pPr>
            <w:r w:rsidRPr="00F244EC">
              <w:rPr>
                <w:b/>
              </w:rPr>
              <w:t>ІПН 002929809134</w:t>
            </w:r>
          </w:p>
          <w:p w:rsidR="00F244EC" w:rsidRPr="00F244EC" w:rsidRDefault="00F244EC" w:rsidP="00F244EC">
            <w:pPr>
              <w:jc w:val="both"/>
              <w:rPr>
                <w:b/>
              </w:rPr>
            </w:pPr>
            <w:r w:rsidRPr="00F244EC">
              <w:rPr>
                <w:b/>
              </w:rPr>
              <w:lastRenderedPageBreak/>
              <w:t xml:space="preserve">п/р 26000000007572, в Філія Укрексімбанк </w:t>
            </w:r>
            <w:proofErr w:type="spellStart"/>
            <w:r w:rsidRPr="00F244EC">
              <w:rPr>
                <w:b/>
              </w:rPr>
              <w:t>м.Івано</w:t>
            </w:r>
            <w:proofErr w:type="spellEnd"/>
            <w:r w:rsidRPr="00F244EC">
              <w:rPr>
                <w:b/>
              </w:rPr>
              <w:t>-Франківськ, МФО 322313</w:t>
            </w:r>
          </w:p>
          <w:p w:rsidR="00F244EC" w:rsidRPr="00F244EC" w:rsidRDefault="00F244EC" w:rsidP="00F244EC">
            <w:pPr>
              <w:jc w:val="both"/>
              <w:rPr>
                <w:b/>
              </w:rPr>
            </w:pPr>
            <w:r w:rsidRPr="00F244EC">
              <w:rPr>
                <w:b/>
              </w:rPr>
              <w:t>ЕІС код: _________________</w:t>
            </w:r>
          </w:p>
          <w:p w:rsidR="00F244EC" w:rsidRPr="00F244EC" w:rsidRDefault="00F244EC" w:rsidP="00F244EC">
            <w:pPr>
              <w:jc w:val="both"/>
              <w:rPr>
                <w:b/>
              </w:rPr>
            </w:pPr>
          </w:p>
          <w:p w:rsidR="00F244EC" w:rsidRPr="00F244EC" w:rsidRDefault="00F244EC" w:rsidP="00F244EC">
            <w:pPr>
              <w:jc w:val="both"/>
              <w:rPr>
                <w:b/>
              </w:rPr>
            </w:pPr>
            <w:r w:rsidRPr="00F244EC">
              <w:rPr>
                <w:b/>
              </w:rPr>
              <w:t>_________________________ _________</w:t>
            </w:r>
          </w:p>
          <w:p w:rsidR="007A7685" w:rsidRPr="00F244EC" w:rsidRDefault="007A7685" w:rsidP="00AE1CE8">
            <w:pPr>
              <w:jc w:val="center"/>
            </w:pPr>
          </w:p>
          <w:p w:rsidR="007A7685" w:rsidRPr="00F244EC" w:rsidRDefault="007A7685" w:rsidP="00AE1CE8">
            <w:pPr>
              <w:jc w:val="center"/>
            </w:pPr>
          </w:p>
        </w:tc>
        <w:tc>
          <w:tcPr>
            <w:tcW w:w="5066" w:type="dxa"/>
            <w:shd w:val="clear" w:color="auto" w:fill="auto"/>
          </w:tcPr>
          <w:p w:rsidR="007A7685" w:rsidRPr="00F244EC" w:rsidRDefault="007A7685" w:rsidP="00AE1CE8">
            <w:pPr>
              <w:jc w:val="center"/>
              <w:rPr>
                <w:b/>
              </w:rPr>
            </w:pPr>
            <w:r w:rsidRPr="00F244EC">
              <w:rPr>
                <w:b/>
              </w:rPr>
              <w:lastRenderedPageBreak/>
              <w:t>Споживач</w:t>
            </w:r>
          </w:p>
          <w:p w:rsidR="007A7685" w:rsidRPr="00F244EC" w:rsidRDefault="007A7685" w:rsidP="00AE1CE8">
            <w:pPr>
              <w:jc w:val="center"/>
            </w:pPr>
          </w:p>
          <w:p w:rsidR="007A7685" w:rsidRPr="00F244EC" w:rsidRDefault="007A7685" w:rsidP="00AE1CE8">
            <w:pPr>
              <w:jc w:val="center"/>
            </w:pPr>
          </w:p>
        </w:tc>
      </w:tr>
    </w:tbl>
    <w:p w:rsidR="007A7685" w:rsidRPr="00F244EC" w:rsidRDefault="007A7685" w:rsidP="00020C0B">
      <w:pPr>
        <w:jc w:val="both"/>
      </w:pPr>
    </w:p>
    <w:sectPr w:rsidR="007A7685" w:rsidRPr="00F24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549AC"/>
    <w:multiLevelType w:val="hybridMultilevel"/>
    <w:tmpl w:val="2A60F1D8"/>
    <w:lvl w:ilvl="0" w:tplc="A2CAB09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0B"/>
    <w:rsid w:val="00020C0B"/>
    <w:rsid w:val="00380385"/>
    <w:rsid w:val="00435961"/>
    <w:rsid w:val="004C57B9"/>
    <w:rsid w:val="00764FA4"/>
    <w:rsid w:val="007A7685"/>
    <w:rsid w:val="00A00D44"/>
    <w:rsid w:val="00B51A08"/>
    <w:rsid w:val="00B9456A"/>
    <w:rsid w:val="00C9351C"/>
    <w:rsid w:val="00D026DA"/>
    <w:rsid w:val="00F2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8A9C"/>
  <w15:chartTrackingRefBased/>
  <w15:docId w15:val="{E63AC8B0-7908-4C67-866C-52FB9D11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0C0B"/>
    <w:rPr>
      <w:rFonts w:eastAsia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1612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Савко</dc:creator>
  <cp:keywords/>
  <dc:description/>
  <cp:lastModifiedBy>Роман Савко</cp:lastModifiedBy>
  <cp:revision>2</cp:revision>
  <dcterms:created xsi:type="dcterms:W3CDTF">2018-12-18T13:41:00Z</dcterms:created>
  <dcterms:modified xsi:type="dcterms:W3CDTF">2018-12-18T13:41:00Z</dcterms:modified>
</cp:coreProperties>
</file>